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color w:val="000000" w:themeColor="text1"/>
          <w:sz w:val="44"/>
          <w:szCs w:val="44"/>
        </w:rPr>
      </w:pPr>
      <w:r>
        <w:rPr>
          <w:rFonts w:hint="eastAsia" w:ascii="宋体" w:hAnsi="宋体"/>
          <w:b/>
          <w:color w:val="000000" w:themeColor="text1"/>
          <w:sz w:val="44"/>
          <w:szCs w:val="44"/>
        </w:rPr>
        <w:t>浙江云和联合村镇银行股份有限公司</w:t>
      </w:r>
    </w:p>
    <w:p>
      <w:pPr>
        <w:spacing w:line="600" w:lineRule="exact"/>
        <w:jc w:val="center"/>
        <w:rPr>
          <w:rFonts w:ascii="宋体" w:hAnsi="宋体"/>
          <w:b/>
          <w:color w:val="000000" w:themeColor="text1"/>
          <w:sz w:val="44"/>
          <w:szCs w:val="44"/>
        </w:rPr>
      </w:pPr>
      <w:r>
        <w:rPr>
          <w:rFonts w:hint="eastAsia" w:ascii="宋体" w:hAnsi="宋体"/>
          <w:b/>
          <w:color w:val="000000" w:themeColor="text1"/>
          <w:sz w:val="44"/>
          <w:szCs w:val="44"/>
        </w:rPr>
        <w:t>202</w:t>
      </w:r>
      <w:r>
        <w:rPr>
          <w:rFonts w:hint="eastAsia" w:ascii="宋体" w:hAnsi="宋体"/>
          <w:b/>
          <w:color w:val="000000" w:themeColor="text1"/>
          <w:sz w:val="44"/>
          <w:szCs w:val="44"/>
          <w:lang w:val="en-US" w:eastAsia="zh-CN"/>
        </w:rPr>
        <w:t>2</w:t>
      </w:r>
      <w:r>
        <w:rPr>
          <w:rFonts w:hint="eastAsia" w:ascii="宋体" w:hAnsi="宋体"/>
          <w:b/>
          <w:color w:val="000000" w:themeColor="text1"/>
          <w:sz w:val="44"/>
          <w:szCs w:val="44"/>
        </w:rPr>
        <w:t>年度信息披露报告</w:t>
      </w:r>
    </w:p>
    <w:p>
      <w:pPr>
        <w:spacing w:line="336" w:lineRule="auto"/>
        <w:ind w:firstLine="643" w:firstLineChars="2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一、公司基本信息</w:t>
      </w:r>
    </w:p>
    <w:p>
      <w:pPr>
        <w:spacing w:line="336" w:lineRule="auto"/>
        <w:ind w:firstLine="643" w:firstLineChars="200"/>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（一）法定名称：</w:t>
      </w:r>
      <w:r>
        <w:rPr>
          <w:rFonts w:hint="eastAsia" w:ascii="仿宋_GB2312" w:hAnsi="宋体" w:eastAsia="仿宋_GB2312"/>
          <w:color w:val="000000" w:themeColor="text1"/>
          <w:sz w:val="32"/>
          <w:szCs w:val="32"/>
        </w:rPr>
        <w:t>浙江云和联合村镇银行股份有限公司</w:t>
      </w:r>
    </w:p>
    <w:p>
      <w:pPr>
        <w:spacing w:line="336" w:lineRule="auto"/>
        <w:ind w:firstLine="643" w:firstLineChars="200"/>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（二）注册资本：</w:t>
      </w:r>
      <w:r>
        <w:rPr>
          <w:rFonts w:hint="eastAsia" w:ascii="仿宋_GB2312" w:hAnsi="宋体" w:eastAsia="仿宋_GB2312"/>
          <w:color w:val="000000" w:themeColor="text1"/>
          <w:sz w:val="32"/>
          <w:szCs w:val="32"/>
        </w:rPr>
        <w:t>6000万元</w:t>
      </w:r>
    </w:p>
    <w:p>
      <w:pPr>
        <w:spacing w:line="336" w:lineRule="auto"/>
        <w:ind w:firstLine="643" w:firstLineChars="200"/>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（三）注册办公地址：</w:t>
      </w:r>
      <w:r>
        <w:rPr>
          <w:rFonts w:hint="eastAsia" w:ascii="仿宋_GB2312" w:hAnsi="宋体" w:eastAsia="仿宋_GB2312"/>
          <w:color w:val="000000" w:themeColor="text1"/>
          <w:sz w:val="32"/>
          <w:szCs w:val="32"/>
        </w:rPr>
        <w:t>浙江省丽水市云和县城东路1号</w:t>
      </w:r>
    </w:p>
    <w:p>
      <w:pPr>
        <w:spacing w:line="336" w:lineRule="auto"/>
        <w:ind w:firstLine="643" w:firstLineChars="200"/>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（四）法定代表人：</w:t>
      </w:r>
      <w:r>
        <w:rPr>
          <w:rFonts w:hint="eastAsia" w:ascii="仿宋_GB2312" w:hAnsi="宋体" w:eastAsia="仿宋_GB2312"/>
          <w:color w:val="000000" w:themeColor="text1"/>
          <w:sz w:val="32"/>
          <w:szCs w:val="32"/>
        </w:rPr>
        <w:t>李丁丁</w:t>
      </w:r>
    </w:p>
    <w:p>
      <w:pPr>
        <w:spacing w:line="336" w:lineRule="auto"/>
        <w:ind w:firstLine="643" w:firstLineChars="200"/>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（五）经营范围：</w:t>
      </w:r>
      <w:r>
        <w:rPr>
          <w:rFonts w:hint="eastAsia" w:ascii="仿宋_GB2312" w:hAnsi="宋体" w:eastAsia="仿宋_GB2312"/>
          <w:color w:val="000000" w:themeColor="text1"/>
          <w:sz w:val="32"/>
          <w:szCs w:val="32"/>
        </w:rPr>
        <w:t>经营中国银行业监督管理委员会依照有关法律、行政法规和其他规定批准的业务，经营范围以批准文件所列为准。（凭有效许可经营。）（依法须经批准的项目，经相关部门批准后方可开展经营活动）</w:t>
      </w:r>
    </w:p>
    <w:p>
      <w:pPr>
        <w:spacing w:line="336" w:lineRule="auto"/>
        <w:ind w:firstLine="643" w:firstLineChars="200"/>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（六）信息披露方式：</w:t>
      </w:r>
      <w:r>
        <w:rPr>
          <w:rFonts w:hint="eastAsia" w:ascii="仿宋_GB2312" w:hAnsi="宋体" w:eastAsia="仿宋_GB2312"/>
          <w:color w:val="000000" w:themeColor="text1"/>
          <w:sz w:val="32"/>
          <w:szCs w:val="32"/>
        </w:rPr>
        <w:t>在浙江云和联合村镇银行股份有限公司门户网站及主要营业场所进行公布。</w:t>
      </w:r>
    </w:p>
    <w:p>
      <w:pPr>
        <w:spacing w:line="336" w:lineRule="auto"/>
        <w:ind w:firstLine="643" w:firstLineChars="200"/>
        <w:rPr>
          <w:rFonts w:ascii="仿宋_GB2312" w:hAnsi="宋体" w:eastAsia="仿宋_GB2312"/>
          <w:color w:val="000000" w:themeColor="text1"/>
          <w:sz w:val="32"/>
          <w:szCs w:val="32"/>
        </w:rPr>
      </w:pPr>
      <w:r>
        <w:rPr>
          <w:rFonts w:hint="eastAsia" w:ascii="仿宋_GB2312" w:hAnsi="宋体" w:eastAsia="仿宋_GB2312"/>
          <w:b/>
          <w:color w:val="000000" w:themeColor="text1"/>
          <w:sz w:val="32"/>
          <w:szCs w:val="32"/>
        </w:rPr>
        <w:t>（七）聘请的会计师事务所名称：</w:t>
      </w:r>
      <w:r>
        <w:rPr>
          <w:rFonts w:hint="eastAsia" w:ascii="仿宋_GB2312" w:hAnsi="宋体" w:eastAsia="仿宋_GB2312"/>
          <w:color w:val="000000" w:themeColor="text1"/>
          <w:sz w:val="32"/>
          <w:szCs w:val="32"/>
        </w:rPr>
        <w:t>中汇会计师事务所</w:t>
      </w:r>
    </w:p>
    <w:p>
      <w:pPr>
        <w:spacing w:line="336" w:lineRule="auto"/>
        <w:ind w:firstLine="643" w:firstLineChars="2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（八）其他有关资料：</w:t>
      </w:r>
    </w:p>
    <w:p>
      <w:pPr>
        <w:spacing w:line="336" w:lineRule="auto"/>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注册成立日期：2013年11月26日</w:t>
      </w:r>
    </w:p>
    <w:p>
      <w:pPr>
        <w:spacing w:line="336" w:lineRule="auto"/>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注册登记机关：丽水市市场监督管理局</w:t>
      </w:r>
    </w:p>
    <w:p>
      <w:pPr>
        <w:spacing w:line="336" w:lineRule="auto"/>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统一社会信用代码：91331100084271886R</w:t>
      </w:r>
    </w:p>
    <w:p>
      <w:pPr>
        <w:widowControl w:val="0"/>
        <w:numPr>
          <w:ilvl w:val="0"/>
          <w:numId w:val="0"/>
        </w:numPr>
        <w:wordWrap/>
        <w:adjustRightInd/>
        <w:snapToGrid/>
        <w:spacing w:line="336" w:lineRule="auto"/>
        <w:ind w:firstLine="643" w:firstLineChars="200"/>
        <w:textAlignment w:val="auto"/>
        <w:rPr>
          <w:rFonts w:hint="eastAsia" w:ascii="仿宋_GB2312" w:hAnsi="宋体" w:eastAsia="仿宋_GB2312"/>
          <w:color w:val="000000" w:themeColor="text1"/>
          <w:sz w:val="32"/>
          <w:szCs w:val="32"/>
        </w:rPr>
      </w:pPr>
      <w:r>
        <w:rPr>
          <w:rFonts w:hint="eastAsia" w:ascii="仿宋_GB2312" w:hAnsi="宋体" w:eastAsia="仿宋_GB2312"/>
          <w:b/>
          <w:bCs w:val="0"/>
          <w:color w:val="000000" w:themeColor="text1"/>
          <w:sz w:val="32"/>
          <w:szCs w:val="32"/>
          <w:lang w:eastAsia="zh-CN"/>
        </w:rPr>
        <w:t>（九）</w:t>
      </w:r>
      <w:r>
        <w:rPr>
          <w:rFonts w:hint="eastAsia" w:ascii="仿宋_GB2312" w:hAnsi="宋体" w:eastAsia="仿宋_GB2312"/>
          <w:b/>
          <w:color w:val="000000" w:themeColor="text1"/>
          <w:sz w:val="32"/>
          <w:szCs w:val="32"/>
        </w:rPr>
        <w:t>市场定位：</w:t>
      </w:r>
      <w:r>
        <w:rPr>
          <w:rFonts w:hint="eastAsia" w:ascii="仿宋_GB2312" w:hAnsi="宋体" w:eastAsia="仿宋_GB2312"/>
          <w:color w:val="000000" w:themeColor="text1"/>
          <w:sz w:val="32"/>
          <w:szCs w:val="32"/>
        </w:rPr>
        <w:t>云和联合村镇银行始终坚持“服务三农、服务中小企业、立足云和”的市场定位，以支持“三农”和发展地方经济为己任，以打造合规、高效、精品的银行为理念，力求为当地农民、农业、农村经济和中小企业提供最真诚、最便捷、最优质、最专业的金融服务。</w:t>
      </w:r>
    </w:p>
    <w:p>
      <w:pPr>
        <w:ind w:firstLine="602" w:firstLineChars="200"/>
        <w:rPr>
          <w:rFonts w:ascii="仿宋_GB2312" w:hAnsi="宋体" w:eastAsia="仿宋_GB2312"/>
          <w:b/>
          <w:color w:val="000000" w:themeColor="text1"/>
          <w:sz w:val="30"/>
          <w:szCs w:val="30"/>
        </w:rPr>
      </w:pPr>
      <w:r>
        <w:rPr>
          <w:rFonts w:hint="eastAsia" w:ascii="仿宋_GB2312" w:hAnsi="宋体" w:eastAsia="仿宋_GB2312"/>
          <w:b/>
          <w:color w:val="000000" w:themeColor="text1"/>
          <w:sz w:val="30"/>
          <w:szCs w:val="30"/>
        </w:rPr>
        <w:t>（十）股东及其持股情况</w:t>
      </w:r>
    </w:p>
    <w:tbl>
      <w:tblPr>
        <w:tblStyle w:val="6"/>
        <w:tblW w:w="8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5"/>
        <w:gridCol w:w="3960"/>
        <w:gridCol w:w="1800"/>
        <w:gridCol w:w="21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themeColor="text1"/>
                <w:kern w:val="0"/>
                <w:sz w:val="24"/>
              </w:rPr>
            </w:pPr>
            <w:r>
              <w:rPr>
                <w:rFonts w:hint="eastAsia" w:ascii="宋体" w:hAnsi="宋体" w:cs="宋体"/>
                <w:b/>
                <w:color w:val="000000" w:themeColor="text1"/>
                <w:kern w:val="0"/>
                <w:sz w:val="24"/>
              </w:rPr>
              <w:t>序号</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themeColor="text1"/>
                <w:kern w:val="0"/>
                <w:sz w:val="24"/>
              </w:rPr>
            </w:pPr>
            <w:r>
              <w:rPr>
                <w:rFonts w:hint="eastAsia" w:ascii="宋体" w:hAnsi="宋体" w:cs="宋体"/>
                <w:b/>
                <w:color w:val="000000" w:themeColor="text1"/>
                <w:kern w:val="0"/>
                <w:sz w:val="24"/>
              </w:rPr>
              <w:t>股东名称</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themeColor="text1"/>
                <w:kern w:val="0"/>
                <w:sz w:val="24"/>
              </w:rPr>
            </w:pPr>
            <w:r>
              <w:rPr>
                <w:rFonts w:hint="eastAsia" w:ascii="宋体" w:hAnsi="宋体" w:cs="宋体"/>
                <w:b/>
                <w:color w:val="000000" w:themeColor="text1"/>
                <w:kern w:val="0"/>
                <w:sz w:val="24"/>
              </w:rPr>
              <w:t>持股额</w:t>
            </w:r>
            <w:r>
              <w:rPr>
                <w:rFonts w:hint="eastAsia" w:ascii="宋体" w:hAnsi="宋体" w:cs="宋体"/>
                <w:b/>
                <w:color w:val="000000" w:themeColor="text1"/>
                <w:kern w:val="0"/>
                <w:sz w:val="24"/>
              </w:rPr>
              <w:br w:type="textWrapping"/>
            </w:r>
            <w:r>
              <w:rPr>
                <w:rFonts w:hint="eastAsia" w:ascii="宋体" w:hAnsi="宋体" w:cs="宋体"/>
                <w:b/>
                <w:color w:val="000000" w:themeColor="text1"/>
                <w:kern w:val="0"/>
                <w:sz w:val="24"/>
              </w:rPr>
              <w:t>（万股）</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color w:val="000000" w:themeColor="text1"/>
                <w:kern w:val="0"/>
                <w:sz w:val="24"/>
              </w:rPr>
            </w:pPr>
            <w:r>
              <w:rPr>
                <w:rFonts w:hint="eastAsia" w:ascii="宋体" w:hAnsi="宋体" w:cs="宋体"/>
                <w:b/>
                <w:color w:val="000000" w:themeColor="text1"/>
                <w:kern w:val="0"/>
                <w:sz w:val="24"/>
              </w:rPr>
              <w:t>持股</w:t>
            </w:r>
            <w:r>
              <w:rPr>
                <w:rFonts w:hint="eastAsia" w:ascii="宋体" w:hAnsi="宋体" w:cs="宋体"/>
                <w:b/>
                <w:color w:val="000000" w:themeColor="text1"/>
                <w:kern w:val="0"/>
                <w:sz w:val="24"/>
              </w:rPr>
              <w:br w:type="textWrapping"/>
            </w:r>
            <w:r>
              <w:rPr>
                <w:rFonts w:hint="eastAsia" w:ascii="宋体" w:hAnsi="宋体" w:cs="宋体"/>
                <w:b/>
                <w:color w:val="000000" w:themeColor="text1"/>
                <w:kern w:val="0"/>
                <w:sz w:val="24"/>
              </w:rPr>
              <w:t>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杭州联合农村商业银行股份有限公司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2400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9"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杭州合骏通讯有限公司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360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3</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嵊州市天润制衣有限公司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360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浙江诚创精密机械股份有限公司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360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5</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浙江新云工艺品有限公司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360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6</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浙江七彩木制工艺品有限公司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240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8"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7</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浙江宇海教育科技有限公司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240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8</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浙江比好进出口有限公司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240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9</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云和美艺玩具有限公司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240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1"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10</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杭州杰仕钢铁有限公司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240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11</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绍兴市南洋染织有限公司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240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12</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浙江木佬佬玩具工艺品有限公司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180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6"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13</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浙江坚韧机械有限公司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180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14</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浙江利隆精密轴承制造有限公司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120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15</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云和县方圆皮草服饰有限公司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120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16</w:t>
            </w:r>
          </w:p>
        </w:tc>
        <w:tc>
          <w:tcPr>
            <w:tcW w:w="39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浙江兴昌轴承有限公司</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120</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themeColor="text1"/>
                <w:kern w:val="0"/>
                <w:sz w:val="24"/>
              </w:rPr>
            </w:pPr>
            <w:r>
              <w:rPr>
                <w:rFonts w:hint="eastAsia" w:ascii="宋体" w:hAnsi="宋体" w:cs="宋体"/>
                <w:color w:val="000000" w:themeColor="text1"/>
                <w:kern w:val="0"/>
                <w:sz w:val="24"/>
              </w:rPr>
              <w:t>2.00%</w:t>
            </w:r>
          </w:p>
        </w:tc>
      </w:tr>
    </w:tbl>
    <w:p>
      <w:pPr>
        <w:spacing w:line="336" w:lineRule="auto"/>
        <w:ind w:firstLine="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报告期内，本行没有增加或减少注册资本，无分立合并事项。</w:t>
      </w:r>
    </w:p>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（十一）营业场所</w:t>
      </w:r>
    </w:p>
    <w:p>
      <w:pPr>
        <w:spacing w:line="336" w:lineRule="auto"/>
        <w:ind w:firstLine="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总行营业部：浙江省丽水市云和县城东路1号</w:t>
      </w:r>
    </w:p>
    <w:p>
      <w:pPr>
        <w:spacing w:line="336" w:lineRule="auto"/>
        <w:ind w:firstLine="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崇头支行：浙江云和县崇头镇崇头村栈云街111-1号</w:t>
      </w:r>
    </w:p>
    <w:p>
      <w:pPr>
        <w:spacing w:line="336" w:lineRule="auto"/>
        <w:ind w:firstLine="600"/>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沙溪支行：浙江云和县凤凰山街道中山西路297号</w:t>
      </w:r>
    </w:p>
    <w:p>
      <w:pPr>
        <w:numPr>
          <w:ilvl w:val="0"/>
          <w:numId w:val="1"/>
        </w:numPr>
        <w:spacing w:line="336" w:lineRule="auto"/>
        <w:ind w:firstLine="600"/>
        <w:rPr>
          <w:rFonts w:hint="eastAsia" w:ascii="仿宋_GB2312" w:hAnsi="宋体" w:eastAsia="仿宋_GB2312"/>
          <w:b/>
          <w:bCs/>
          <w:color w:val="000000" w:themeColor="text1"/>
          <w:sz w:val="32"/>
          <w:szCs w:val="32"/>
          <w:lang w:eastAsia="zh-CN"/>
        </w:rPr>
      </w:pPr>
      <w:r>
        <w:rPr>
          <w:rFonts w:hint="eastAsia" w:ascii="仿宋_GB2312" w:hAnsi="宋体" w:eastAsia="仿宋_GB2312"/>
          <w:b/>
          <w:bCs/>
          <w:color w:val="000000" w:themeColor="text1"/>
          <w:sz w:val="32"/>
          <w:szCs w:val="32"/>
          <w:lang w:eastAsia="zh-CN"/>
        </w:rPr>
        <w:t>高管人员情况</w:t>
      </w:r>
    </w:p>
    <w:p>
      <w:pPr>
        <w:spacing w:line="336" w:lineRule="auto"/>
        <w:ind w:firstLine="640" w:firstLineChars="200"/>
        <w:jc w:val="left"/>
        <w:rPr>
          <w:rFonts w:hint="default" w:ascii="仿宋_GB2312" w:hAnsi="宋体" w:eastAsia="仿宋_GB2312"/>
          <w:b/>
          <w:bCs/>
          <w:color w:val="000000" w:themeColor="text1"/>
          <w:sz w:val="32"/>
          <w:szCs w:val="32"/>
          <w:lang w:val="en-US" w:eastAsia="zh-CN"/>
        </w:rPr>
      </w:pPr>
      <w:r>
        <w:rPr>
          <w:rFonts w:hint="eastAsia" w:ascii="仿宋_GB2312" w:hAnsi="仿宋_GB2312" w:eastAsia="仿宋_GB2312" w:cs="仿宋_GB2312"/>
          <w:color w:val="000000" w:themeColor="text1"/>
          <w:sz w:val="32"/>
          <w:szCs w:val="32"/>
        </w:rPr>
        <w:t>我行现有高管</w:t>
      </w: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名，</w:t>
      </w:r>
      <w:r>
        <w:rPr>
          <w:rFonts w:hint="eastAsia" w:ascii="仿宋_GB2312" w:hAnsi="仿宋_GB2312" w:eastAsia="仿宋_GB2312" w:cs="仿宋_GB2312"/>
          <w:color w:val="000000" w:themeColor="text1"/>
          <w:sz w:val="32"/>
          <w:szCs w:val="32"/>
          <w:lang w:eastAsia="zh-CN"/>
        </w:rPr>
        <w:t>其中，董事长</w:t>
      </w:r>
      <w:r>
        <w:rPr>
          <w:rFonts w:hint="eastAsia" w:ascii="仿宋_GB2312" w:hAnsi="仿宋_GB2312" w:eastAsia="仿宋_GB2312" w:cs="仿宋_GB2312"/>
          <w:color w:val="000000" w:themeColor="text1"/>
          <w:sz w:val="32"/>
          <w:szCs w:val="32"/>
          <w:lang w:val="en-US" w:eastAsia="zh-CN"/>
        </w:rPr>
        <w:t>1名，负责全行党建、人力资源、公司治理、内审、财务费用、文明规范服务推进、6S管理等工作；行长1名，负责全行运营管理、安全保卫、反洗钱工作、权限内贷款授信及审批、不良贷款清收处置、风险贷款的转化审批、核销贷款清收工作；副行长1名，负责全行业务推进、村居化营销、基建、工会、团委工作、协管文明规范服务推进、6S管理等工作；监事长1名，负责全行纪检监察、消费者权益保护，协管内审，协助推进党工团妇工作。</w:t>
      </w:r>
    </w:p>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二、会计数据及业务数据摘要</w:t>
      </w:r>
    </w:p>
    <w:p>
      <w:pPr>
        <w:spacing w:line="336" w:lineRule="auto"/>
        <w:ind w:firstLine="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（详见附件：浙江云和联合村镇银行股份有限公司202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年度审计报告）</w:t>
      </w:r>
    </w:p>
    <w:p>
      <w:pPr>
        <w:numPr>
          <w:ilvl w:val="0"/>
          <w:numId w:val="2"/>
        </w:numPr>
        <w:spacing w:line="336" w:lineRule="auto"/>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报告期内主要会计数据情况</w:t>
      </w:r>
    </w:p>
    <w:p>
      <w:pPr>
        <w:spacing w:line="336" w:lineRule="auto"/>
        <w:ind w:left="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单位：人民币  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项目</w:t>
            </w:r>
          </w:p>
        </w:tc>
        <w:tc>
          <w:tcPr>
            <w:tcW w:w="4261" w:type="dxa"/>
            <w:vAlign w:val="top"/>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营业收入</w:t>
            </w:r>
          </w:p>
        </w:tc>
        <w:tc>
          <w:tcPr>
            <w:tcW w:w="4261" w:type="dxa"/>
            <w:vAlign w:val="top"/>
          </w:tcPr>
          <w:p>
            <w:pPr>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7200.36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营业支出</w:t>
            </w:r>
          </w:p>
        </w:tc>
        <w:tc>
          <w:tcPr>
            <w:tcW w:w="4261" w:type="dxa"/>
            <w:vAlign w:val="top"/>
          </w:tcPr>
          <w:p>
            <w:pPr>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5188.90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拨备前利润</w:t>
            </w:r>
          </w:p>
        </w:tc>
        <w:tc>
          <w:tcPr>
            <w:tcW w:w="4261" w:type="dxa"/>
            <w:vAlign w:val="top"/>
          </w:tcPr>
          <w:p>
            <w:pPr>
              <w:jc w:val="cente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2642.20</w:t>
            </w:r>
          </w:p>
        </w:tc>
      </w:tr>
    </w:tbl>
    <w:p>
      <w:pPr>
        <w:numPr>
          <w:ilvl w:val="0"/>
          <w:numId w:val="2"/>
        </w:numPr>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截止报告期末前两年主要会计数据和财务指标</w:t>
      </w:r>
    </w:p>
    <w:p>
      <w:pP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单位：人民币  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项目</w:t>
            </w:r>
          </w:p>
        </w:tc>
        <w:tc>
          <w:tcPr>
            <w:tcW w:w="284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2022年度</w:t>
            </w:r>
          </w:p>
        </w:tc>
        <w:tc>
          <w:tcPr>
            <w:tcW w:w="284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2021年度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总资产</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103562.42</w:t>
            </w:r>
          </w:p>
        </w:tc>
        <w:tc>
          <w:tcPr>
            <w:tcW w:w="2841" w:type="dxa"/>
            <w:vAlign w:val="top"/>
          </w:tcPr>
          <w:p>
            <w:pPr>
              <w:rPr>
                <w:rFonts w:hint="default" w:ascii="仿宋_GB2312" w:hAnsi="宋体" w:eastAsia="仿宋_GB2312"/>
                <w:color w:val="000000" w:themeColor="text1"/>
                <w:sz w:val="28"/>
                <w:szCs w:val="28"/>
                <w:lang w:val="en-US" w:eastAsia="zh-CN"/>
              </w:rPr>
            </w:pPr>
            <w:r>
              <w:rPr>
                <w:rFonts w:hint="eastAsia" w:ascii="仿宋_GB2312" w:hAnsi="宋体" w:eastAsia="仿宋_GB2312"/>
                <w:color w:val="000000" w:themeColor="text1"/>
                <w:sz w:val="28"/>
                <w:szCs w:val="28"/>
                <w:lang w:val="en-US" w:eastAsia="zh-CN"/>
              </w:rPr>
              <w:t>105721.89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存款余额</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81186.25</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81925.03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贷款余额</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88298.42</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89763.08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所有者权益</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12653.74</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11681.45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净利润收入</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1220.99</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1194.45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拨备前利润</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2642.20</w:t>
            </w:r>
          </w:p>
        </w:tc>
        <w:tc>
          <w:tcPr>
            <w:tcW w:w="284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2327.50</w:t>
            </w:r>
          </w:p>
        </w:tc>
      </w:tr>
    </w:tbl>
    <w:p>
      <w:pPr>
        <w:numPr>
          <w:ilvl w:val="0"/>
          <w:numId w:val="2"/>
        </w:numPr>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截止报告期末前两年的补充财务指标</w:t>
      </w:r>
    </w:p>
    <w:p>
      <w:pPr>
        <w:ind w:left="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单位：人民币  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159"/>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vAlign w:val="top"/>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主要指标</w:t>
            </w:r>
          </w:p>
        </w:tc>
        <w:tc>
          <w:tcPr>
            <w:tcW w:w="2159" w:type="dxa"/>
            <w:vAlign w:val="top"/>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2022年末</w:t>
            </w:r>
          </w:p>
        </w:tc>
        <w:tc>
          <w:tcPr>
            <w:tcW w:w="1935" w:type="dxa"/>
            <w:vAlign w:val="top"/>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2021年末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资本充足率</w:t>
            </w:r>
          </w:p>
        </w:tc>
        <w:tc>
          <w:tcPr>
            <w:tcW w:w="2159"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15.13</w:t>
            </w:r>
          </w:p>
        </w:tc>
        <w:tc>
          <w:tcPr>
            <w:tcW w:w="193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存贷款比例</w:t>
            </w:r>
          </w:p>
        </w:tc>
        <w:tc>
          <w:tcPr>
            <w:tcW w:w="2159"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102.60</w:t>
            </w:r>
          </w:p>
        </w:tc>
        <w:tc>
          <w:tcPr>
            <w:tcW w:w="193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不良贷款额</w:t>
            </w:r>
          </w:p>
        </w:tc>
        <w:tc>
          <w:tcPr>
            <w:tcW w:w="2159"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1237.48</w:t>
            </w:r>
          </w:p>
        </w:tc>
        <w:tc>
          <w:tcPr>
            <w:tcW w:w="193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1731.28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单一最大客户贷款集中度</w:t>
            </w:r>
          </w:p>
        </w:tc>
        <w:tc>
          <w:tcPr>
            <w:tcW w:w="2159"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3.29</w:t>
            </w:r>
          </w:p>
        </w:tc>
        <w:tc>
          <w:tcPr>
            <w:tcW w:w="193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最大单一集团客户授信集中度</w:t>
            </w:r>
          </w:p>
        </w:tc>
        <w:tc>
          <w:tcPr>
            <w:tcW w:w="2159"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3.29</w:t>
            </w:r>
          </w:p>
        </w:tc>
        <w:tc>
          <w:tcPr>
            <w:tcW w:w="193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贷款拨备覆盖率</w:t>
            </w:r>
          </w:p>
        </w:tc>
        <w:tc>
          <w:tcPr>
            <w:tcW w:w="2159"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254.42</w:t>
            </w:r>
          </w:p>
        </w:tc>
        <w:tc>
          <w:tcPr>
            <w:tcW w:w="193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169.30</w:t>
            </w:r>
          </w:p>
        </w:tc>
      </w:tr>
    </w:tbl>
    <w:p>
      <w:pPr>
        <w:numPr>
          <w:ilvl w:val="0"/>
          <w:numId w:val="2"/>
        </w:numPr>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贷款损失准备金情况</w:t>
      </w:r>
    </w:p>
    <w:p>
      <w:pPr>
        <w:ind w:left="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单位：人民币  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项目</w:t>
            </w:r>
          </w:p>
        </w:tc>
        <w:tc>
          <w:tcPr>
            <w:tcW w:w="4261" w:type="dxa"/>
            <w:vAlign w:val="top"/>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期初余额</w:t>
            </w:r>
          </w:p>
        </w:tc>
        <w:tc>
          <w:tcPr>
            <w:tcW w:w="426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2931.11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报告期计提</w:t>
            </w:r>
          </w:p>
        </w:tc>
        <w:tc>
          <w:tcPr>
            <w:tcW w:w="426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本期收回以前年度核销</w:t>
            </w:r>
          </w:p>
        </w:tc>
        <w:tc>
          <w:tcPr>
            <w:tcW w:w="426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29.40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报告期核销</w:t>
            </w:r>
          </w:p>
        </w:tc>
        <w:tc>
          <w:tcPr>
            <w:tcW w:w="426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465.33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其他变化</w:t>
            </w:r>
          </w:p>
        </w:tc>
        <w:tc>
          <w:tcPr>
            <w:tcW w:w="426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期末余额</w:t>
            </w:r>
          </w:p>
        </w:tc>
        <w:tc>
          <w:tcPr>
            <w:tcW w:w="4261"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3148.39</w:t>
            </w:r>
          </w:p>
        </w:tc>
      </w:tr>
    </w:tbl>
    <w:p>
      <w:pPr>
        <w:numPr>
          <w:ilvl w:val="0"/>
          <w:numId w:val="2"/>
        </w:numPr>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资本的构成及其变化情况</w:t>
      </w:r>
    </w:p>
    <w:p>
      <w:pPr>
        <w:ind w:left="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单位：人民币  万元</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8"/>
        <w:gridCol w:w="252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项目</w:t>
            </w:r>
          </w:p>
        </w:tc>
        <w:tc>
          <w:tcPr>
            <w:tcW w:w="2520"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2022年</w:t>
            </w:r>
          </w:p>
        </w:tc>
        <w:tc>
          <w:tcPr>
            <w:tcW w:w="2474"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核心资本</w:t>
            </w:r>
          </w:p>
        </w:tc>
        <w:tc>
          <w:tcPr>
            <w:tcW w:w="2520"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12653.74</w:t>
            </w:r>
          </w:p>
        </w:tc>
        <w:tc>
          <w:tcPr>
            <w:tcW w:w="2474"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11653.66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 xml:space="preserve">    其中：核心资本净额</w:t>
            </w:r>
          </w:p>
        </w:tc>
        <w:tc>
          <w:tcPr>
            <w:tcW w:w="2520"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12650.38</w:t>
            </w:r>
          </w:p>
        </w:tc>
        <w:tc>
          <w:tcPr>
            <w:tcW w:w="2474"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11653.66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资本净额</w:t>
            </w:r>
          </w:p>
        </w:tc>
        <w:tc>
          <w:tcPr>
            <w:tcW w:w="2520"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13661.95</w:t>
            </w:r>
          </w:p>
        </w:tc>
        <w:tc>
          <w:tcPr>
            <w:tcW w:w="2474"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12511.46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加权风险资产</w:t>
            </w:r>
          </w:p>
        </w:tc>
        <w:tc>
          <w:tcPr>
            <w:tcW w:w="2520"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90302.76</w:t>
            </w:r>
          </w:p>
        </w:tc>
        <w:tc>
          <w:tcPr>
            <w:tcW w:w="2474"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78610.76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资本充足率%</w:t>
            </w:r>
          </w:p>
        </w:tc>
        <w:tc>
          <w:tcPr>
            <w:tcW w:w="2520"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15.13</w:t>
            </w:r>
          </w:p>
        </w:tc>
        <w:tc>
          <w:tcPr>
            <w:tcW w:w="2474"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8" w:type="dxa"/>
            <w:vAlign w:val="top"/>
          </w:tcPr>
          <w:p>
            <w:pP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核心资本充足率%</w:t>
            </w:r>
          </w:p>
        </w:tc>
        <w:tc>
          <w:tcPr>
            <w:tcW w:w="2520"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14.01</w:t>
            </w:r>
          </w:p>
        </w:tc>
        <w:tc>
          <w:tcPr>
            <w:tcW w:w="2474"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13.45</w:t>
            </w:r>
          </w:p>
        </w:tc>
      </w:tr>
    </w:tbl>
    <w:p>
      <w:pPr>
        <w:numPr>
          <w:ilvl w:val="0"/>
          <w:numId w:val="2"/>
        </w:numPr>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报告期内股东权益变化情况</w:t>
      </w:r>
    </w:p>
    <w:p>
      <w:pPr>
        <w:ind w:left="600"/>
        <w:jc w:val="righ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 xml:space="preserve">                单位：万股、人民币  万元</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395"/>
        <w:gridCol w:w="1363"/>
        <w:gridCol w:w="1382"/>
        <w:gridCol w:w="1773"/>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项目</w:t>
            </w:r>
          </w:p>
        </w:tc>
        <w:tc>
          <w:tcPr>
            <w:tcW w:w="1395"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股本</w:t>
            </w:r>
          </w:p>
        </w:tc>
        <w:tc>
          <w:tcPr>
            <w:tcW w:w="1363"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资本公积</w:t>
            </w:r>
          </w:p>
        </w:tc>
        <w:tc>
          <w:tcPr>
            <w:tcW w:w="1382"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盈余公积</w:t>
            </w:r>
          </w:p>
        </w:tc>
        <w:tc>
          <w:tcPr>
            <w:tcW w:w="1773"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一般风险准备</w:t>
            </w:r>
          </w:p>
        </w:tc>
        <w:tc>
          <w:tcPr>
            <w:tcW w:w="1827"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股东权益合计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期初数</w:t>
            </w:r>
          </w:p>
        </w:tc>
        <w:tc>
          <w:tcPr>
            <w:tcW w:w="139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6000</w:t>
            </w:r>
          </w:p>
        </w:tc>
        <w:tc>
          <w:tcPr>
            <w:tcW w:w="136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382"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596.91</w:t>
            </w:r>
          </w:p>
        </w:tc>
        <w:tc>
          <w:tcPr>
            <w:tcW w:w="177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1548.68</w:t>
            </w:r>
          </w:p>
        </w:tc>
        <w:tc>
          <w:tcPr>
            <w:tcW w:w="1827"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11653.66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本期增加</w:t>
            </w:r>
          </w:p>
        </w:tc>
        <w:tc>
          <w:tcPr>
            <w:tcW w:w="139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36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382"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119.45</w:t>
            </w:r>
          </w:p>
        </w:tc>
        <w:tc>
          <w:tcPr>
            <w:tcW w:w="177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119.44</w:t>
            </w:r>
          </w:p>
        </w:tc>
        <w:tc>
          <w:tcPr>
            <w:tcW w:w="1827"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本期减少</w:t>
            </w:r>
          </w:p>
        </w:tc>
        <w:tc>
          <w:tcPr>
            <w:tcW w:w="139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36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382"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77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827"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Align w:val="center"/>
          </w:tcPr>
          <w:p>
            <w:pPr>
              <w:jc w:val="center"/>
              <w:rPr>
                <w:rFonts w:ascii="仿宋_GB2312" w:hAnsi="宋体" w:eastAsia="仿宋_GB2312"/>
                <w:b/>
                <w:color w:val="000000" w:themeColor="text1"/>
                <w:sz w:val="28"/>
                <w:szCs w:val="28"/>
              </w:rPr>
            </w:pPr>
            <w:r>
              <w:rPr>
                <w:rFonts w:hint="eastAsia" w:ascii="仿宋_GB2312" w:hAnsi="宋体" w:eastAsia="仿宋_GB2312"/>
                <w:b/>
                <w:color w:val="000000" w:themeColor="text1"/>
                <w:sz w:val="28"/>
                <w:szCs w:val="28"/>
              </w:rPr>
              <w:t>期末数</w:t>
            </w:r>
          </w:p>
        </w:tc>
        <w:tc>
          <w:tcPr>
            <w:tcW w:w="1395"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6000</w:t>
            </w:r>
          </w:p>
        </w:tc>
        <w:tc>
          <w:tcPr>
            <w:tcW w:w="136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0.00</w:t>
            </w:r>
          </w:p>
        </w:tc>
        <w:tc>
          <w:tcPr>
            <w:tcW w:w="1382"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716.36</w:t>
            </w:r>
          </w:p>
        </w:tc>
        <w:tc>
          <w:tcPr>
            <w:tcW w:w="1773"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1668.12</w:t>
            </w:r>
          </w:p>
        </w:tc>
        <w:tc>
          <w:tcPr>
            <w:tcW w:w="1827" w:type="dxa"/>
            <w:vAlign w:val="top"/>
          </w:tcPr>
          <w:p>
            <w:pPr>
              <w:rPr>
                <w:rFonts w:ascii="仿宋_GB2312" w:hAnsi="宋体" w:eastAsia="仿宋_GB2312"/>
                <w:color w:val="000000" w:themeColor="text1"/>
                <w:sz w:val="28"/>
                <w:szCs w:val="28"/>
              </w:rPr>
            </w:pPr>
            <w:r>
              <w:rPr>
                <w:rFonts w:hint="eastAsia" w:ascii="仿宋_GB2312" w:hAnsi="宋体" w:eastAsia="仿宋_GB2312"/>
                <w:color w:val="000000" w:themeColor="text1"/>
                <w:sz w:val="28"/>
                <w:szCs w:val="28"/>
              </w:rPr>
              <w:t>12653.74</w:t>
            </w:r>
          </w:p>
        </w:tc>
      </w:tr>
    </w:tbl>
    <w:p>
      <w:pPr>
        <w:spacing w:line="336" w:lineRule="auto"/>
        <w:ind w:firstLine="601"/>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三、公司治理信息</w:t>
      </w:r>
    </w:p>
    <w:p>
      <w:pPr>
        <w:spacing w:line="336" w:lineRule="auto"/>
        <w:ind w:firstLine="601"/>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（一）年度内召开股东大会情况</w:t>
      </w:r>
    </w:p>
    <w:p>
      <w:pPr>
        <w:spacing w:line="336" w:lineRule="auto"/>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年度内本行召开股东大会1次，临时会议</w:t>
      </w:r>
      <w:r>
        <w:rPr>
          <w:rFonts w:hint="eastAsia" w:ascii="仿宋_GB2312" w:hAnsi="宋体" w:eastAsia="仿宋_GB2312"/>
          <w:color w:val="000000" w:themeColor="text1"/>
          <w:sz w:val="32"/>
          <w:szCs w:val="32"/>
          <w:lang w:val="en-US" w:eastAsia="zh-CN"/>
        </w:rPr>
        <w:t>1</w:t>
      </w:r>
      <w:r>
        <w:rPr>
          <w:rFonts w:hint="eastAsia" w:ascii="仿宋_GB2312" w:hAnsi="宋体" w:eastAsia="仿宋_GB2312"/>
          <w:color w:val="000000" w:themeColor="text1"/>
          <w:sz w:val="32"/>
          <w:szCs w:val="32"/>
        </w:rPr>
        <w:t>次。具体情况如下：</w:t>
      </w:r>
    </w:p>
    <w:p>
      <w:pPr>
        <w:ind w:firstLine="640" w:firstLineChars="200"/>
        <w:jc w:val="left"/>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20</w:t>
      </w:r>
      <w:r>
        <w:rPr>
          <w:rFonts w:hint="eastAsia" w:ascii="仿宋_GB2312" w:hAnsi="宋体" w:eastAsia="仿宋_GB2312"/>
          <w:color w:val="000000" w:themeColor="text1"/>
          <w:sz w:val="32"/>
          <w:szCs w:val="32"/>
          <w:lang w:val="en-US" w:eastAsia="zh-CN"/>
        </w:rPr>
        <w:t>22</w:t>
      </w:r>
      <w:r>
        <w:rPr>
          <w:rFonts w:hint="eastAsia" w:ascii="仿宋_GB2312" w:hAnsi="宋体" w:eastAsia="仿宋_GB2312"/>
          <w:color w:val="000000" w:themeColor="text1"/>
          <w:sz w:val="32"/>
          <w:szCs w:val="32"/>
        </w:rPr>
        <w:t>年</w:t>
      </w:r>
      <w:r>
        <w:rPr>
          <w:rFonts w:hint="eastAsia" w:ascii="仿宋_GB2312" w:hAnsi="宋体" w:eastAsia="仿宋_GB2312"/>
          <w:color w:val="000000" w:themeColor="text1"/>
          <w:sz w:val="32"/>
          <w:szCs w:val="32"/>
          <w:lang w:val="en-US" w:eastAsia="zh-CN"/>
        </w:rPr>
        <w:t>5</w:t>
      </w:r>
      <w:r>
        <w:rPr>
          <w:rFonts w:hint="eastAsia" w:ascii="仿宋_GB2312" w:hAnsi="宋体" w:eastAsia="仿宋_GB2312"/>
          <w:color w:val="000000" w:themeColor="text1"/>
          <w:sz w:val="32"/>
          <w:szCs w:val="32"/>
        </w:rPr>
        <w:t>月18日，本行在</w:t>
      </w:r>
      <w:r>
        <w:rPr>
          <w:rFonts w:hint="eastAsia" w:ascii="仿宋_GB2312" w:hAnsi="宋体" w:eastAsia="仿宋_GB2312"/>
          <w:color w:val="000000" w:themeColor="text1"/>
          <w:sz w:val="32"/>
          <w:szCs w:val="32"/>
          <w:lang w:eastAsia="zh-CN"/>
        </w:rPr>
        <w:t>沙溪支行会议室</w:t>
      </w:r>
      <w:r>
        <w:rPr>
          <w:rFonts w:hint="eastAsia" w:ascii="仿宋_GB2312" w:hAnsi="宋体" w:eastAsia="仿宋_GB2312"/>
          <w:color w:val="000000" w:themeColor="text1"/>
          <w:sz w:val="32"/>
          <w:szCs w:val="32"/>
        </w:rPr>
        <w:t>召开了2021年度股东大会，本次会议由董事长主持，审议并通过了：《浙江云和联合村镇银行股份有限公司2021年度经营发展情况及2022年度工作措施的报告》、《关于浙江云和联合村镇银行股份有限公司2021年度审计报告》、《关于浙江云和联合村镇银行股份有限公司2021年度董事会工作报告》、《浙江云和联合村镇银行股份有限公司2021年度董事会董事履职考核的报告》、《关于浙江云和联合村镇银行股份有限公司2021年度监事会工作报告》、《关于浙江云和联合村镇银行股份有限公司2021年度监事会监事履职考核的报告》、《关于浙江云和联合村镇银行股份有限公司章程修改的议案》</w:t>
      </w:r>
      <w:r>
        <w:rPr>
          <w:rFonts w:hint="eastAsia" w:ascii="仿宋_GB2312" w:hAnsi="宋体" w:eastAsia="仿宋_GB2312"/>
          <w:color w:val="000000" w:themeColor="text1"/>
          <w:sz w:val="32"/>
          <w:szCs w:val="32"/>
          <w:lang w:eastAsia="zh-CN"/>
        </w:rPr>
        <w:t>、</w:t>
      </w:r>
      <w:r>
        <w:rPr>
          <w:rFonts w:hint="eastAsia" w:ascii="仿宋_GB2312" w:hAnsi="宋体" w:eastAsia="仿宋_GB2312"/>
          <w:color w:val="000000" w:themeColor="text1"/>
          <w:sz w:val="32"/>
          <w:szCs w:val="32"/>
        </w:rPr>
        <w:t>《关于浙江云和联合村镇银行股份有限公司股权管理办法（试行）的议案》</w:t>
      </w:r>
      <w:r>
        <w:rPr>
          <w:rFonts w:hint="eastAsia" w:ascii="仿宋_GB2312" w:hAnsi="宋体" w:eastAsia="仿宋_GB2312"/>
          <w:color w:val="000000" w:themeColor="text1"/>
          <w:sz w:val="32"/>
          <w:szCs w:val="32"/>
          <w:lang w:eastAsia="zh-CN"/>
        </w:rPr>
        <w:t>、</w:t>
      </w:r>
      <w:r>
        <w:rPr>
          <w:rFonts w:hint="eastAsia" w:ascii="仿宋_GB2312" w:hAnsi="宋体" w:eastAsia="仿宋_GB2312"/>
          <w:color w:val="000000" w:themeColor="text1"/>
          <w:sz w:val="32"/>
          <w:szCs w:val="32"/>
        </w:rPr>
        <w:t>《关于浙江云和联合村镇银行股份有限公司2021年度财务报告和2022年度财务预算方案（草案）》</w:t>
      </w:r>
      <w:r>
        <w:rPr>
          <w:rFonts w:hint="eastAsia" w:ascii="仿宋_GB2312" w:hAnsi="宋体" w:eastAsia="仿宋_GB2312"/>
          <w:color w:val="000000" w:themeColor="text1"/>
          <w:sz w:val="32"/>
          <w:szCs w:val="32"/>
          <w:lang w:eastAsia="zh-CN"/>
        </w:rPr>
        <w:t>、</w:t>
      </w:r>
      <w:r>
        <w:rPr>
          <w:rFonts w:hint="eastAsia" w:ascii="仿宋_GB2312" w:hAnsi="宋体" w:eastAsia="仿宋_GB2312"/>
          <w:color w:val="000000" w:themeColor="text1"/>
          <w:sz w:val="32"/>
          <w:szCs w:val="32"/>
        </w:rPr>
        <w:t>《关于浙江云和联合村镇银行股份有限公司2021年度利润分配方案（草案）》</w:t>
      </w:r>
      <w:r>
        <w:rPr>
          <w:rFonts w:hint="eastAsia" w:ascii="仿宋_GB2312" w:hAnsi="宋体" w:eastAsia="仿宋_GB2312"/>
          <w:color w:val="000000" w:themeColor="text1"/>
          <w:sz w:val="32"/>
          <w:szCs w:val="32"/>
          <w:lang w:eastAsia="zh-CN"/>
        </w:rPr>
        <w:t>、</w:t>
      </w:r>
      <w:r>
        <w:rPr>
          <w:rFonts w:hint="eastAsia" w:ascii="仿宋_GB2312" w:hAnsi="宋体" w:eastAsia="仿宋_GB2312"/>
          <w:color w:val="000000" w:themeColor="text1"/>
          <w:sz w:val="32"/>
          <w:szCs w:val="32"/>
        </w:rPr>
        <w:t>《关于浙江云和联合村镇银行股份有限公司2022年度主要经营目标的议案》</w:t>
      </w:r>
      <w:r>
        <w:rPr>
          <w:rFonts w:hint="eastAsia" w:ascii="仿宋_GB2312" w:hAnsi="宋体" w:eastAsia="仿宋_GB2312"/>
          <w:color w:val="000000" w:themeColor="text1"/>
          <w:sz w:val="32"/>
          <w:szCs w:val="32"/>
          <w:lang w:eastAsia="zh-CN"/>
        </w:rPr>
        <w:t>、</w:t>
      </w:r>
      <w:r>
        <w:rPr>
          <w:rFonts w:hint="eastAsia" w:ascii="仿宋_GB2312" w:hAnsi="宋体" w:eastAsia="仿宋_GB2312"/>
          <w:color w:val="000000" w:themeColor="text1"/>
          <w:sz w:val="32"/>
          <w:szCs w:val="32"/>
        </w:rPr>
        <w:t>《关于浙江云和联合村镇银行股份有限公司关联交易管理办法的议案》等</w:t>
      </w:r>
      <w:r>
        <w:rPr>
          <w:rFonts w:hint="eastAsia" w:ascii="仿宋_GB2312" w:hAnsi="宋体" w:eastAsia="仿宋_GB2312"/>
          <w:color w:val="000000" w:themeColor="text1"/>
          <w:sz w:val="32"/>
          <w:szCs w:val="32"/>
          <w:lang w:val="en-US" w:eastAsia="zh-CN"/>
        </w:rPr>
        <w:t>12</w:t>
      </w:r>
      <w:r>
        <w:rPr>
          <w:rFonts w:hint="eastAsia" w:ascii="仿宋_GB2312" w:hAnsi="宋体" w:eastAsia="仿宋_GB2312"/>
          <w:color w:val="000000" w:themeColor="text1"/>
          <w:sz w:val="32"/>
          <w:szCs w:val="32"/>
        </w:rPr>
        <w:t>项议案。</w:t>
      </w:r>
    </w:p>
    <w:p>
      <w:pPr>
        <w:ind w:firstLine="640" w:firstLineChars="200"/>
        <w:jc w:val="left"/>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年</w:t>
      </w:r>
      <w:r>
        <w:rPr>
          <w:rFonts w:hint="eastAsia" w:ascii="仿宋_GB2312" w:hAnsi="宋体" w:eastAsia="仿宋_GB2312"/>
          <w:color w:val="000000" w:themeColor="text1"/>
          <w:sz w:val="32"/>
          <w:szCs w:val="32"/>
          <w:lang w:val="en-US" w:eastAsia="zh-CN"/>
        </w:rPr>
        <w:t>12</w:t>
      </w:r>
      <w:r>
        <w:rPr>
          <w:rFonts w:hint="eastAsia" w:ascii="仿宋_GB2312" w:hAnsi="宋体" w:eastAsia="仿宋_GB2312"/>
          <w:color w:val="000000" w:themeColor="text1"/>
          <w:sz w:val="32"/>
          <w:szCs w:val="32"/>
        </w:rPr>
        <w:t>月2</w:t>
      </w:r>
      <w:r>
        <w:rPr>
          <w:rFonts w:hint="eastAsia" w:ascii="仿宋_GB2312" w:hAnsi="宋体" w:eastAsia="仿宋_GB2312"/>
          <w:color w:val="000000" w:themeColor="text1"/>
          <w:sz w:val="32"/>
          <w:szCs w:val="32"/>
          <w:lang w:val="en-US" w:eastAsia="zh-CN"/>
        </w:rPr>
        <w:t>0</w:t>
      </w:r>
      <w:r>
        <w:rPr>
          <w:rFonts w:hint="eastAsia" w:ascii="仿宋_GB2312" w:hAnsi="宋体" w:eastAsia="仿宋_GB2312"/>
          <w:color w:val="000000" w:themeColor="text1"/>
          <w:sz w:val="32"/>
          <w:szCs w:val="32"/>
        </w:rPr>
        <w:t>日，本行在</w:t>
      </w:r>
      <w:r>
        <w:rPr>
          <w:rFonts w:hint="eastAsia" w:ascii="仿宋_GB2312" w:hAnsi="宋体" w:eastAsia="仿宋_GB2312"/>
          <w:color w:val="000000" w:themeColor="text1"/>
          <w:sz w:val="32"/>
          <w:szCs w:val="32"/>
          <w:lang w:eastAsia="zh-CN"/>
        </w:rPr>
        <w:t>总行会议室</w:t>
      </w:r>
      <w:r>
        <w:rPr>
          <w:rFonts w:hint="eastAsia" w:ascii="仿宋_GB2312" w:hAnsi="宋体" w:eastAsia="仿宋_GB2312"/>
          <w:color w:val="000000" w:themeColor="text1"/>
          <w:sz w:val="32"/>
          <w:szCs w:val="32"/>
        </w:rPr>
        <w:t>召开了</w:t>
      </w:r>
      <w:r>
        <w:rPr>
          <w:rFonts w:hint="eastAsia" w:ascii="仿宋_GB2312" w:hAnsi="宋体" w:eastAsia="仿宋_GB2312"/>
          <w:color w:val="000000" w:themeColor="text1"/>
          <w:sz w:val="32"/>
          <w:szCs w:val="32"/>
          <w:lang w:val="en-US" w:eastAsia="zh-CN"/>
        </w:rPr>
        <w:t>2022年第一次临时</w:t>
      </w:r>
      <w:r>
        <w:rPr>
          <w:rFonts w:hint="eastAsia" w:ascii="仿宋_GB2312" w:hAnsi="宋体" w:eastAsia="仿宋_GB2312"/>
          <w:color w:val="000000" w:themeColor="text1"/>
          <w:sz w:val="32"/>
          <w:szCs w:val="32"/>
        </w:rPr>
        <w:t>股东大会，本次会议由董事长主持，审议并通过了：《关于选举浙江云和联合村镇银行股份有限公司第三届监事会非职工监事的议案》、《关于委托中汇会计师事务所对浙江云和联合村镇银行股份有限公司2022年度会计报表审计和内控评价工作的议案》等</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项议案。</w:t>
      </w:r>
    </w:p>
    <w:p>
      <w:pPr>
        <w:spacing w:line="336" w:lineRule="auto"/>
        <w:ind w:firstLine="601"/>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（二）年度内董事会情况</w:t>
      </w:r>
    </w:p>
    <w:p>
      <w:pPr>
        <w:spacing w:line="336" w:lineRule="auto"/>
        <w:ind w:firstLine="601"/>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云和联合村镇银行第三届董事会共由5名董事组成，其中非在职董事2名。202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年，全体董事严格遵守本行章程、董事会议事规则及相关法律、法规规定，以严谨的工作作风，公正、客观、忠实、勤勉、认真地履行了董事职责，第三届董事会202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年度履职情况如下：</w:t>
      </w:r>
    </w:p>
    <w:p>
      <w:pPr>
        <w:spacing w:line="336" w:lineRule="auto"/>
        <w:ind w:firstLine="643" w:firstLineChars="200"/>
        <w:rPr>
          <w:rFonts w:hint="eastAsia" w:ascii="仿宋_GB2312" w:hAnsi="黑体" w:eastAsia="仿宋_GB2312"/>
          <w:b/>
          <w:color w:val="000000" w:themeColor="text1"/>
          <w:sz w:val="32"/>
          <w:szCs w:val="32"/>
        </w:rPr>
      </w:pPr>
      <w:r>
        <w:rPr>
          <w:rFonts w:hint="eastAsia" w:ascii="仿宋_GB2312" w:hAnsi="宋体" w:eastAsia="仿宋_GB2312"/>
          <w:b/>
          <w:color w:val="000000" w:themeColor="text1"/>
          <w:sz w:val="32"/>
          <w:szCs w:val="32"/>
        </w:rPr>
        <w:t>1、董事会会议出席情况</w:t>
      </w:r>
    </w:p>
    <w:p>
      <w:pPr>
        <w:adjustRightInd w:val="0"/>
        <w:snapToGrid w:val="0"/>
        <w:spacing w:line="336" w:lineRule="auto"/>
        <w:ind w:firstLine="640" w:firstLineChars="200"/>
        <w:rPr>
          <w:rFonts w:hint="eastAsia" w:ascii="仿宋_GB2312" w:eastAsia="仿宋_GB2312"/>
          <w:color w:val="000000" w:themeColor="text1"/>
          <w:sz w:val="32"/>
          <w:szCs w:val="32"/>
        </w:rPr>
      </w:pPr>
      <w:r>
        <w:rPr>
          <w:rFonts w:hint="eastAsia" w:ascii="仿宋_GB2312" w:eastAsia="仿宋_GB2312"/>
          <w:color w:val="000000" w:themeColor="text1"/>
          <w:sz w:val="32"/>
          <w:szCs w:val="32"/>
        </w:rPr>
        <w:t>报告期内，本行2022年度共召开董事会例会5次，出席情况如下：</w:t>
      </w:r>
    </w:p>
    <w:tbl>
      <w:tblPr>
        <w:tblStyle w:val="6"/>
        <w:tblW w:w="8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2295"/>
        <w:gridCol w:w="220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center"/>
              <w:rPr>
                <w:rFonts w:ascii="仿宋_GB2312" w:hAnsi="宋体" w:eastAsia="仿宋_GB2312" w:cs="宋体"/>
                <w:b/>
                <w:color w:val="000000" w:themeColor="text1"/>
                <w:kern w:val="0"/>
                <w:sz w:val="24"/>
                <w:szCs w:val="24"/>
              </w:rPr>
            </w:pPr>
            <w:r>
              <w:rPr>
                <w:rFonts w:hint="eastAsia" w:ascii="仿宋_GB2312" w:hAnsi="宋体" w:eastAsia="仿宋_GB2312" w:cs="宋体"/>
                <w:b/>
                <w:color w:val="000000" w:themeColor="text1"/>
                <w:kern w:val="0"/>
                <w:sz w:val="24"/>
                <w:szCs w:val="24"/>
              </w:rPr>
              <w:t>姓  名</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center"/>
              <w:rPr>
                <w:rFonts w:ascii="仿宋_GB2312" w:hAnsi="宋体" w:eastAsia="仿宋_GB2312" w:cs="宋体"/>
                <w:b/>
                <w:color w:val="000000" w:themeColor="text1"/>
                <w:kern w:val="0"/>
                <w:sz w:val="24"/>
                <w:szCs w:val="24"/>
              </w:rPr>
            </w:pPr>
            <w:r>
              <w:rPr>
                <w:rFonts w:hint="eastAsia" w:ascii="仿宋_GB2312" w:hAnsi="宋体" w:eastAsia="仿宋_GB2312" w:cs="宋体"/>
                <w:b/>
                <w:color w:val="000000" w:themeColor="text1"/>
                <w:kern w:val="0"/>
                <w:sz w:val="24"/>
                <w:szCs w:val="24"/>
              </w:rPr>
              <w:t>本人出席次数</w:t>
            </w:r>
          </w:p>
        </w:tc>
        <w:tc>
          <w:tcPr>
            <w:tcW w:w="22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center"/>
              <w:rPr>
                <w:rFonts w:ascii="仿宋_GB2312" w:hAnsi="宋体" w:eastAsia="仿宋_GB2312" w:cs="宋体"/>
                <w:b/>
                <w:color w:val="000000" w:themeColor="text1"/>
                <w:kern w:val="0"/>
                <w:sz w:val="24"/>
                <w:szCs w:val="24"/>
              </w:rPr>
            </w:pPr>
            <w:r>
              <w:rPr>
                <w:rFonts w:hint="eastAsia" w:ascii="仿宋_GB2312" w:hAnsi="宋体" w:eastAsia="仿宋_GB2312" w:cs="宋体"/>
                <w:b/>
                <w:color w:val="000000" w:themeColor="text1"/>
                <w:kern w:val="0"/>
                <w:sz w:val="24"/>
                <w:szCs w:val="24"/>
              </w:rPr>
              <w:t>委托出席会议次数</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540" w:lineRule="exact"/>
              <w:jc w:val="center"/>
              <w:rPr>
                <w:rFonts w:ascii="仿宋_GB2312" w:hAnsi="宋体" w:eastAsia="仿宋_GB2312" w:cs="宋体"/>
                <w:b/>
                <w:color w:val="000000" w:themeColor="text1"/>
                <w:kern w:val="0"/>
                <w:sz w:val="24"/>
                <w:szCs w:val="24"/>
              </w:rPr>
            </w:pPr>
            <w:r>
              <w:rPr>
                <w:rFonts w:hint="eastAsia" w:ascii="仿宋_GB2312" w:hAnsi="宋体" w:eastAsia="仿宋_GB2312" w:cs="宋体"/>
                <w:b/>
                <w:color w:val="000000" w:themeColor="text1"/>
                <w:kern w:val="0"/>
                <w:sz w:val="24"/>
                <w:szCs w:val="24"/>
              </w:rPr>
              <w:t>未出席会议次数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李丁丁</w:t>
            </w:r>
          </w:p>
        </w:tc>
        <w:tc>
          <w:tcPr>
            <w:tcW w:w="22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5</w:t>
            </w: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奚涛</w:t>
            </w:r>
          </w:p>
        </w:tc>
        <w:tc>
          <w:tcPr>
            <w:tcW w:w="22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4</w:t>
            </w: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1</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刘伟东</w:t>
            </w:r>
          </w:p>
        </w:tc>
        <w:tc>
          <w:tcPr>
            <w:tcW w:w="22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5</w:t>
            </w: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hint="eastAsia"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徐华高</w:t>
            </w:r>
          </w:p>
        </w:tc>
        <w:tc>
          <w:tcPr>
            <w:tcW w:w="22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3</w:t>
            </w: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2</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廖复新</w:t>
            </w:r>
          </w:p>
        </w:tc>
        <w:tc>
          <w:tcPr>
            <w:tcW w:w="22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4</w:t>
            </w:r>
          </w:p>
        </w:tc>
        <w:tc>
          <w:tcPr>
            <w:tcW w:w="22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1</w:t>
            </w:r>
          </w:p>
        </w:tc>
        <w:tc>
          <w:tcPr>
            <w:tcW w:w="19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40" w:lineRule="exact"/>
              <w:jc w:val="center"/>
              <w:rPr>
                <w:rFonts w:ascii="仿宋_GB2312" w:hAnsi="宋体" w:eastAsia="仿宋_GB2312" w:cs="宋体"/>
                <w:color w:val="000000" w:themeColor="text1"/>
                <w:kern w:val="0"/>
                <w:sz w:val="24"/>
                <w:szCs w:val="24"/>
              </w:rPr>
            </w:pPr>
            <w:r>
              <w:rPr>
                <w:rFonts w:hint="eastAsia" w:ascii="仿宋_GB2312" w:hAnsi="宋体" w:eastAsia="仿宋_GB2312" w:cs="宋体"/>
                <w:color w:val="000000" w:themeColor="text1"/>
                <w:kern w:val="0"/>
                <w:sz w:val="24"/>
                <w:szCs w:val="24"/>
              </w:rPr>
              <w:t>-</w:t>
            </w:r>
          </w:p>
        </w:tc>
      </w:tr>
    </w:tbl>
    <w:p>
      <w:pPr>
        <w:spacing w:line="336" w:lineRule="auto"/>
        <w:ind w:firstLine="643" w:firstLineChars="200"/>
        <w:rPr>
          <w:rFonts w:hint="eastAsia" w:ascii="仿宋_GB2312" w:hAnsi="宋体" w:eastAsia="仿宋_GB2312"/>
          <w:b/>
          <w:color w:val="000000" w:themeColor="text1"/>
          <w:sz w:val="32"/>
          <w:szCs w:val="32"/>
        </w:rPr>
      </w:pPr>
      <w:r>
        <w:rPr>
          <w:rFonts w:hint="eastAsia" w:ascii="仿宋_GB2312" w:hAnsi="宋体" w:eastAsia="仿宋_GB2312"/>
          <w:b/>
          <w:color w:val="000000" w:themeColor="text1"/>
          <w:sz w:val="32"/>
          <w:szCs w:val="32"/>
          <w:lang w:val="en-US" w:eastAsia="zh-CN"/>
        </w:rPr>
        <w:t>2</w:t>
      </w:r>
      <w:r>
        <w:rPr>
          <w:rFonts w:hint="eastAsia" w:ascii="仿宋_GB2312" w:hAnsi="宋体" w:eastAsia="仿宋_GB2312"/>
          <w:b/>
          <w:color w:val="000000" w:themeColor="text1"/>
          <w:sz w:val="32"/>
          <w:szCs w:val="32"/>
        </w:rPr>
        <w:t>、董事会议事和决策情况</w:t>
      </w:r>
    </w:p>
    <w:p>
      <w:pPr>
        <w:adjustRightInd w:val="0"/>
        <w:snapToGrid w:val="0"/>
        <w:spacing w:line="336" w:lineRule="auto"/>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报告期内，本行董事会主要通过召开现场会议的方式，对事关本行改革发展全局的重大问题进行认真商议、集思广益，对工作目标和工作措施、财务预算方案、股东股份转让、章程修订以及审计报告等涉及经营管理的重大事项进行了讨论和决策，共形成决议26项。</w:t>
      </w:r>
    </w:p>
    <w:p>
      <w:pPr>
        <w:adjustRightInd w:val="0"/>
        <w:snapToGrid w:val="0"/>
        <w:spacing w:line="336" w:lineRule="auto"/>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对于董事会讨论的事项，各位董事均能在会前对议案进行认真审阅，主动了解全行经营和运作动态，查阅相关信息和资料，为董事会的议事和决策做好充分准备。在董事会会议上，全体董事能够以审慎负责、积极认真的态度，充分发挥各自的专业经验及特长，为讨论的事项提供专业判断和分析，保障了董事会的高效运转及科学决策，对全行各项经营管理工作的顺利开展起了积极作用。</w:t>
      </w:r>
    </w:p>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3、董事年度履职考核结果</w:t>
      </w:r>
    </w:p>
    <w:p>
      <w:pPr>
        <w:overflowPunct w:val="0"/>
        <w:autoSpaceDE w:val="0"/>
        <w:autoSpaceDN w:val="0"/>
        <w:adjustRightInd w:val="0"/>
        <w:snapToGrid w:val="0"/>
        <w:spacing w:line="336" w:lineRule="auto"/>
        <w:ind w:firstLine="640" w:firstLineChars="20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本行董事会根据《浙江云和联合村镇银行股份有限公司董事、监事履职考核办法》，结合每位董事的履职情况，在充分听取银监部门、监事会及其他有关方面意见后，对董事年度履职情况进行综合考评，确定</w:t>
      </w:r>
      <w:r>
        <w:rPr>
          <w:rFonts w:hint="eastAsia" w:ascii="仿宋_GB2312" w:hAnsi="仿宋_GB2312" w:eastAsia="仿宋_GB2312" w:cs="仿宋_GB2312"/>
          <w:color w:val="000000" w:themeColor="text1"/>
          <w:sz w:val="32"/>
          <w:szCs w:val="32"/>
          <w:lang w:eastAsia="zh-CN"/>
        </w:rPr>
        <w:t>李丁丁、奚涛、刘伟东、廖复新董事</w:t>
      </w:r>
      <w:r>
        <w:rPr>
          <w:rFonts w:hint="eastAsia" w:ascii="仿宋_GB2312" w:hAnsi="仿宋_GB2312" w:eastAsia="仿宋_GB2312" w:cs="仿宋_GB2312"/>
          <w:color w:val="000000" w:themeColor="text1"/>
          <w:sz w:val="32"/>
          <w:szCs w:val="32"/>
          <w:lang w:val="en-US" w:eastAsia="zh-CN"/>
        </w:rPr>
        <w:t>2022年度履职考核结果为称职，</w:t>
      </w:r>
      <w:r>
        <w:rPr>
          <w:rFonts w:hint="eastAsia" w:ascii="仿宋_GB2312" w:hAnsi="仿宋_GB2312" w:eastAsia="仿宋_GB2312" w:cs="仿宋_GB2312"/>
          <w:color w:val="000000" w:themeColor="text1"/>
          <w:sz w:val="32"/>
          <w:szCs w:val="32"/>
          <w:lang w:eastAsia="zh-CN"/>
        </w:rPr>
        <w:t>徐华高董事</w:t>
      </w:r>
      <w:r>
        <w:rPr>
          <w:rFonts w:hint="eastAsia" w:ascii="仿宋_GB2312" w:hAnsi="仿宋_GB2312" w:eastAsia="仿宋_GB2312" w:cs="仿宋_GB2312"/>
          <w:color w:val="000000" w:themeColor="text1"/>
          <w:sz w:val="32"/>
          <w:szCs w:val="32"/>
        </w:rPr>
        <w:t>履职考核结果为</w:t>
      </w:r>
      <w:r>
        <w:rPr>
          <w:rFonts w:hint="eastAsia" w:ascii="仿宋_GB2312" w:hAnsi="仿宋_GB2312" w:eastAsia="仿宋_GB2312" w:cs="仿宋_GB2312"/>
          <w:color w:val="000000" w:themeColor="text1"/>
          <w:sz w:val="32"/>
          <w:szCs w:val="32"/>
          <w:lang w:val="en-US" w:eastAsia="zh-CN"/>
        </w:rPr>
        <w:t>基本</w:t>
      </w:r>
      <w:r>
        <w:rPr>
          <w:rFonts w:hint="eastAsia" w:ascii="仿宋_GB2312" w:hAnsi="仿宋_GB2312" w:eastAsia="仿宋_GB2312" w:cs="仿宋_GB2312"/>
          <w:color w:val="000000" w:themeColor="text1"/>
          <w:sz w:val="32"/>
          <w:szCs w:val="32"/>
        </w:rPr>
        <w:t>称职。</w:t>
      </w:r>
    </w:p>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（三）年度内监事会情况</w:t>
      </w:r>
    </w:p>
    <w:p>
      <w:pPr>
        <w:spacing w:line="336" w:lineRule="auto"/>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浙江云和联合村镇银行股份有限公司（以下简称“本行”）第三届监事会共由3名监事组成，其中职工监事1人，非职工监事2人。2022年,全体监事严格按照《公司法》、本行《章程》、监事会议事规则等相关法律法规和制度要求，恪尽职守、勤勉认真地履行了监督职责，确保本行各项工作依法合规。针对本行重大决策、风险防控、内部控制以及董事及高级管理人员责任履行情况等均进行了有效严格的监督，切实保障了本行及全体股东的利益。现就2022年度监事履职情况报告如下：</w:t>
      </w:r>
    </w:p>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1 、监事会会议出席情况</w:t>
      </w:r>
    </w:p>
    <w:p>
      <w:pPr>
        <w:spacing w:line="336" w:lineRule="auto"/>
        <w:ind w:firstLine="640" w:firstLineChars="200"/>
        <w:jc w:val="left"/>
        <w:rPr>
          <w:rFonts w:hint="eastAsia" w:ascii="仿宋_GB2312" w:eastAsia="仿宋_GB2312"/>
          <w:color w:val="000000" w:themeColor="text1"/>
          <w:sz w:val="32"/>
          <w:szCs w:val="32"/>
        </w:rPr>
      </w:pPr>
      <w:r>
        <w:rPr>
          <w:rFonts w:hint="eastAsia" w:ascii="仿宋_GB2312" w:hAnsi="仿宋" w:eastAsia="仿宋_GB2312"/>
          <w:color w:val="000000" w:themeColor="text1"/>
          <w:sz w:val="32"/>
          <w:szCs w:val="32"/>
        </w:rPr>
        <w:t>2022年，本行共召开监事会5次，出席情况如下：</w:t>
      </w:r>
    </w:p>
    <w:tbl>
      <w:tblPr>
        <w:tblStyle w:val="6"/>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2160"/>
        <w:gridCol w:w="2806"/>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姓名</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本人出席次数</w:t>
            </w:r>
          </w:p>
        </w:tc>
        <w:tc>
          <w:tcPr>
            <w:tcW w:w="2806"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委托出席会议次数</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未出席会议次数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章小的</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4</w:t>
            </w:r>
          </w:p>
        </w:tc>
        <w:tc>
          <w:tcPr>
            <w:tcW w:w="2806"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1</w:t>
            </w:r>
          </w:p>
        </w:tc>
        <w:tc>
          <w:tcPr>
            <w:tcW w:w="2566" w:type="dxa"/>
            <w:tcBorders>
              <w:top w:val="single" w:color="auto" w:sz="4" w:space="0"/>
              <w:left w:val="single" w:color="auto" w:sz="4" w:space="0"/>
              <w:bottom w:val="single" w:color="auto" w:sz="4" w:space="0"/>
              <w:right w:val="single" w:color="auto" w:sz="4" w:space="0"/>
            </w:tcBorders>
            <w:vAlign w:val="center"/>
          </w:tcPr>
          <w:p>
            <w:pPr>
              <w:widowControl/>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叶火娟</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5</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87"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颜小燕</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0</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5</w:t>
            </w:r>
          </w:p>
        </w:tc>
        <w:tc>
          <w:tcPr>
            <w:tcW w:w="2566" w:type="dxa"/>
            <w:tcBorders>
              <w:top w:val="single" w:color="auto" w:sz="4" w:space="0"/>
              <w:left w:val="single" w:color="auto" w:sz="4" w:space="0"/>
              <w:bottom w:val="single" w:color="auto" w:sz="4" w:space="0"/>
              <w:right w:val="single" w:color="auto" w:sz="4" w:space="0"/>
            </w:tcBorders>
            <w:vAlign w:val="center"/>
          </w:tcPr>
          <w:p>
            <w:pPr>
              <w:spacing w:line="336" w:lineRule="auto"/>
              <w:jc w:val="center"/>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w:t>
            </w:r>
          </w:p>
        </w:tc>
      </w:tr>
    </w:tbl>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2、监事会议事和监督情况</w:t>
      </w:r>
    </w:p>
    <w:p>
      <w:pPr>
        <w:spacing w:line="336" w:lineRule="auto"/>
        <w:ind w:firstLine="640" w:firstLineChars="200"/>
        <w:rPr>
          <w:rFonts w:hint="eastAsia" w:ascii="仿宋_GB2312" w:eastAsia="仿宋_GB2312"/>
          <w:color w:val="000000" w:themeColor="text1"/>
          <w:sz w:val="32"/>
          <w:szCs w:val="32"/>
        </w:rPr>
      </w:pPr>
      <w:r>
        <w:rPr>
          <w:rFonts w:hint="eastAsia" w:ascii="仿宋_GB2312" w:hAnsi="仿宋" w:eastAsia="仿宋_GB2312"/>
          <w:color w:val="000000" w:themeColor="text1"/>
          <w:sz w:val="32"/>
          <w:szCs w:val="32"/>
        </w:rPr>
        <w:t>2022年，本行监事会的各位监事切实履行议事职能。</w:t>
      </w:r>
      <w:r>
        <w:rPr>
          <w:rFonts w:hint="eastAsia" w:ascii="仿宋_GB2312" w:hAnsi="仿宋" w:eastAsia="仿宋_GB2312"/>
          <w:b/>
          <w:bCs/>
          <w:color w:val="000000" w:themeColor="text1"/>
          <w:sz w:val="32"/>
          <w:szCs w:val="32"/>
        </w:rPr>
        <w:t>一是</w:t>
      </w:r>
      <w:r>
        <w:rPr>
          <w:rFonts w:hint="eastAsia" w:ascii="仿宋_GB2312" w:hAnsi="仿宋" w:eastAsia="仿宋_GB2312"/>
          <w:color w:val="000000" w:themeColor="text1"/>
          <w:sz w:val="32"/>
          <w:szCs w:val="32"/>
        </w:rPr>
        <w:t>严格执行监事会定期例会制度。2022年共召开现场例会5次，各位监事审议了监事会工作报告、监事履职情况报告、财务报告、经营情况报告、董监事履职评价办法、消费者权益保护工作制度、监事会换届选举等12项议题，听取了监事会议案落实执行情况的报告，并围绕议题内容提出有利于本行发展的科学合理的意见建议，最终就相关审议事项形成决议并提交股东大会审议。</w:t>
      </w:r>
      <w:r>
        <w:rPr>
          <w:rFonts w:hint="eastAsia" w:ascii="仿宋_GB2312" w:hAnsi="仿宋" w:eastAsia="仿宋_GB2312"/>
          <w:b/>
          <w:bCs/>
          <w:color w:val="000000" w:themeColor="text1"/>
          <w:sz w:val="32"/>
          <w:szCs w:val="32"/>
        </w:rPr>
        <w:t>二是</w:t>
      </w:r>
      <w:r>
        <w:rPr>
          <w:rFonts w:hint="eastAsia" w:ascii="仿宋_GB2312" w:hAnsi="仿宋" w:eastAsia="仿宋_GB2312"/>
          <w:color w:val="000000" w:themeColor="text1"/>
          <w:sz w:val="32"/>
          <w:szCs w:val="32"/>
        </w:rPr>
        <w:t>持续提升自身履职能力建设。本行监事能够坚持动态学习和主动学习，及时开展对宏观经济形势监测、区域行业发展趋势分析，全面掌握本行经营状况及薄弱环节，不断提高自身议事能力和履职能力。</w:t>
      </w:r>
      <w:r>
        <w:rPr>
          <w:rFonts w:hint="eastAsia" w:ascii="仿宋_GB2312" w:eastAsia="仿宋_GB2312"/>
          <w:color w:val="000000" w:themeColor="text1"/>
          <w:sz w:val="32"/>
          <w:szCs w:val="32"/>
        </w:rPr>
        <w:t>同时，主动增强责任意识、内控意识和监督意识，加强对风险的把控，强化对财务、审计工作的领导，加强对经营管理层的日常监督，指导运营部门扎实有效的开展工作。</w:t>
      </w:r>
    </w:p>
    <w:p>
      <w:pPr>
        <w:spacing w:line="336" w:lineRule="auto"/>
        <w:ind w:firstLine="697" w:firstLineChars="218"/>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2022年，监事会监事认真履行监督本行董事会的职责，共列席董事会例会4次，对董事会相关议案进行认真研究和讨论，围绕全行制度建设、业务规划、内部管理等涉及本行经营管理的重大决策进行监督，切实维护本行利益和广大投资者利益。</w:t>
      </w:r>
      <w:r>
        <w:rPr>
          <w:rFonts w:hint="eastAsia" w:ascii="仿宋_GB2312" w:eastAsia="仿宋_GB2312"/>
          <w:b/>
          <w:bCs/>
          <w:color w:val="000000" w:themeColor="text1"/>
          <w:sz w:val="32"/>
          <w:szCs w:val="32"/>
        </w:rPr>
        <w:t>一是</w:t>
      </w:r>
      <w:r>
        <w:rPr>
          <w:rFonts w:hint="eastAsia" w:ascii="仿宋_GB2312" w:eastAsia="仿宋_GB2312"/>
          <w:color w:val="000000" w:themeColor="text1"/>
          <w:sz w:val="32"/>
          <w:szCs w:val="32"/>
        </w:rPr>
        <w:t>列席董事会的监事能够以认真负责的态度，发挥各自的专业经验及特长，对董事会所讨论的事项充分发表意见和建议，为董事会决策提供多项参考意见。监事会</w:t>
      </w:r>
      <w:r>
        <w:rPr>
          <w:rFonts w:hint="eastAsia" w:ascii="仿宋_GB2312" w:hAnsi="仿宋" w:eastAsia="仿宋_GB2312"/>
          <w:color w:val="000000" w:themeColor="text1"/>
          <w:sz w:val="32"/>
          <w:szCs w:val="32"/>
        </w:rPr>
        <w:t>的有效监督，保障了各项经营管理工作的合规运行。</w:t>
      </w:r>
      <w:r>
        <w:rPr>
          <w:rFonts w:hint="eastAsia" w:ascii="仿宋_GB2312" w:eastAsia="仿宋_GB2312"/>
          <w:b/>
          <w:bCs/>
          <w:color w:val="000000" w:themeColor="text1"/>
          <w:sz w:val="32"/>
          <w:szCs w:val="32"/>
        </w:rPr>
        <w:t>二是</w:t>
      </w:r>
      <w:r>
        <w:rPr>
          <w:rFonts w:hint="eastAsia" w:ascii="仿宋_GB2312" w:eastAsia="仿宋_GB2312"/>
          <w:color w:val="000000" w:themeColor="text1"/>
          <w:sz w:val="32"/>
          <w:szCs w:val="32"/>
        </w:rPr>
        <w:t>本行监事通过听取内审、财务条线的年度半年度工作报告、内审专项审计报告、审核内部资料、查阅董监事信息专报和获取行内日常信息等方式，及时充分掌握本行运营情况，较好地实现了对本行日常经营管理情况的监督。</w:t>
      </w:r>
    </w:p>
    <w:p>
      <w:pPr>
        <w:spacing w:line="336" w:lineRule="auto"/>
        <w:ind w:firstLine="697" w:firstLineChars="218"/>
        <w:rPr>
          <w:rFonts w:hint="eastAsia" w:ascii="仿宋_GB2312" w:eastAsia="仿宋_GB2312"/>
          <w:color w:val="000000" w:themeColor="text1"/>
          <w:sz w:val="32"/>
          <w:szCs w:val="32"/>
        </w:rPr>
      </w:pPr>
      <w:r>
        <w:rPr>
          <w:rFonts w:hint="eastAsia" w:ascii="仿宋_GB2312" w:eastAsia="仿宋_GB2312"/>
          <w:color w:val="000000" w:themeColor="text1"/>
          <w:sz w:val="32"/>
          <w:szCs w:val="32"/>
        </w:rPr>
        <w:t>2022年，本行监事持续强化履行指导职能。</w:t>
      </w:r>
      <w:r>
        <w:rPr>
          <w:rFonts w:hint="eastAsia" w:ascii="仿宋_GB2312" w:eastAsia="仿宋_GB2312"/>
          <w:b/>
          <w:bCs/>
          <w:color w:val="000000" w:themeColor="text1"/>
          <w:sz w:val="32"/>
          <w:szCs w:val="32"/>
        </w:rPr>
        <w:t>一是</w:t>
      </w:r>
      <w:r>
        <w:rPr>
          <w:rFonts w:hint="eastAsia" w:ascii="仿宋_GB2312" w:hAnsi="仿宋" w:eastAsia="仿宋_GB2312"/>
          <w:color w:val="000000" w:themeColor="text1"/>
          <w:sz w:val="32"/>
          <w:szCs w:val="32"/>
        </w:rPr>
        <w:t>对经营管理层日常工作进行指导。监事会对经营管理层的重大经营决策坚持既参与配合又跟踪监督的原则，一方面积极支持经营管理层工作，认真落实和配合执行各项决定；另一方面全程监督经营管理层工作的合规性，在决策中提出意见和建议，并定期向监事会汇报，发挥了监督促进作用，增强了经营管理层工作的有效性。</w:t>
      </w:r>
      <w:r>
        <w:rPr>
          <w:rFonts w:hint="eastAsia" w:ascii="仿宋_GB2312" w:hAnsi="仿宋" w:eastAsia="仿宋_GB2312"/>
          <w:b/>
          <w:bCs/>
          <w:color w:val="000000" w:themeColor="text1"/>
          <w:sz w:val="32"/>
          <w:szCs w:val="32"/>
        </w:rPr>
        <w:t>二是</w:t>
      </w:r>
      <w:r>
        <w:rPr>
          <w:rFonts w:hint="eastAsia" w:ascii="仿宋_GB2312" w:hAnsi="仿宋" w:eastAsia="仿宋_GB2312"/>
          <w:color w:val="000000" w:themeColor="text1"/>
          <w:sz w:val="32"/>
          <w:szCs w:val="32"/>
        </w:rPr>
        <w:t>监事在推进经营机制改革、加快本行转型建设、完善内部管理、优化服务功能、建设企业文化等方面，为董事会决策和本行经营管理层提供了有益的参考意见。</w:t>
      </w:r>
      <w:r>
        <w:rPr>
          <w:rFonts w:hint="eastAsia" w:ascii="仿宋_GB2312" w:hAnsi="仿宋" w:eastAsia="仿宋_GB2312"/>
          <w:b/>
          <w:bCs/>
          <w:color w:val="000000" w:themeColor="text1"/>
          <w:sz w:val="32"/>
          <w:szCs w:val="32"/>
        </w:rPr>
        <w:t>三是</w:t>
      </w:r>
      <w:r>
        <w:rPr>
          <w:rFonts w:hint="eastAsia" w:ascii="仿宋_GB2312" w:hAnsi="仿宋" w:eastAsia="仿宋_GB2312"/>
          <w:color w:val="000000" w:themeColor="text1"/>
          <w:sz w:val="32"/>
          <w:szCs w:val="32"/>
        </w:rPr>
        <w:t>有序推进内部审计工作，对审计岗人员进行工作指导，加强审计信息共享，发挥审计增值作用。同时，稳步推动财务管理工作，围绕战略规划指导财务部门不断加强资产负债管理能力，提升统筹管控能力，以管理会计为抓手引导资源有效配置，提高资产负债管理精细化水平，为全行业务发展提供支持。</w:t>
      </w:r>
    </w:p>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3、监事年度履职考核结果</w:t>
      </w:r>
    </w:p>
    <w:p>
      <w:pPr>
        <w:spacing w:line="336" w:lineRule="auto"/>
        <w:ind w:firstLine="640" w:firstLineChars="200"/>
        <w:rPr>
          <w:rFonts w:hint="eastAsia" w:ascii="仿宋_GB2312" w:hAnsi="仿宋" w:eastAsia="仿宋_GB2312"/>
          <w:color w:val="000000" w:themeColor="text1"/>
          <w:sz w:val="32"/>
          <w:szCs w:val="32"/>
        </w:rPr>
      </w:pPr>
      <w:r>
        <w:rPr>
          <w:rFonts w:hint="eastAsia" w:ascii="仿宋_GB2312" w:hAnsi="仿宋" w:eastAsia="仿宋_GB2312"/>
          <w:color w:val="000000" w:themeColor="text1"/>
          <w:sz w:val="32"/>
          <w:szCs w:val="32"/>
        </w:rPr>
        <w:t>根据本行监事履职考核办法的相关规定，综合考量各位监事在促进本行科学决策、依法经营、合规操作等方面所发挥的议事、监督作用，结合监事履职情况和自评结果，确定本行章小的、叶火娟监事2022年度履职考核结果为称职。颜小燕监事履职考核结果为不称职。</w:t>
      </w:r>
    </w:p>
    <w:p>
      <w:pPr>
        <w:spacing w:line="336" w:lineRule="auto"/>
        <w:ind w:firstLine="600"/>
        <w:rPr>
          <w:rFonts w:hint="default" w:ascii="仿宋_GB2312" w:hAnsi="宋体" w:eastAsia="仿宋_GB2312"/>
          <w:b/>
          <w:color w:val="000000" w:themeColor="text1"/>
          <w:sz w:val="32"/>
          <w:szCs w:val="32"/>
          <w:lang w:val="en-US" w:eastAsia="zh-CN"/>
        </w:rPr>
      </w:pPr>
      <w:r>
        <w:rPr>
          <w:rFonts w:hint="eastAsia" w:ascii="仿宋_GB2312" w:hAnsi="宋体" w:eastAsia="仿宋_GB2312"/>
          <w:b/>
          <w:color w:val="000000" w:themeColor="text1"/>
          <w:sz w:val="32"/>
          <w:szCs w:val="32"/>
          <w:lang w:eastAsia="zh-CN"/>
        </w:rPr>
        <w:t>（四）年度内消费者权益保护情况</w:t>
      </w:r>
    </w:p>
    <w:p>
      <w:pPr>
        <w:spacing w:line="336" w:lineRule="auto"/>
        <w:ind w:firstLine="6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1、</w:t>
      </w:r>
      <w:r>
        <w:rPr>
          <w:rFonts w:hint="eastAsia" w:ascii="仿宋_GB2312" w:hAnsi="仿宋_GB2312" w:eastAsia="仿宋_GB2312" w:cs="仿宋_GB2312"/>
          <w:b/>
          <w:color w:val="000000" w:themeColor="text1"/>
          <w:sz w:val="32"/>
          <w:szCs w:val="32"/>
        </w:rPr>
        <w:t>组织体制建设</w:t>
      </w:r>
    </w:p>
    <w:p>
      <w:pPr>
        <w:spacing w:line="336" w:lineRule="auto"/>
        <w:ind w:firstLine="600"/>
        <w:rPr>
          <w:rFonts w:ascii="仿宋_GB2312" w:hAnsi="仿宋_GB2312" w:eastAsia="仿宋_GB2312" w:cs="黑体"/>
          <w:color w:val="000000" w:themeColor="text1"/>
          <w:sz w:val="32"/>
          <w:szCs w:val="32"/>
        </w:rPr>
      </w:pPr>
      <w:r>
        <w:rPr>
          <w:rFonts w:hint="eastAsia" w:ascii="仿宋_GB2312" w:hAnsi="仿宋_GB2312" w:eastAsia="仿宋_GB2312" w:cs="黑体"/>
          <w:color w:val="000000" w:themeColor="text1"/>
          <w:sz w:val="32"/>
          <w:szCs w:val="32"/>
        </w:rPr>
        <w:t>三会一层积极研究消保规章的落实情况，有关规章制度提交董监事会审议，提高三会一层履职能力。同时，为增强维护消费者权益的主动性和责任感，牢固树立公平对待金融消费者的观念，并将其融入公司治理和企业文化建设中，成立金融消费者权益保护工作委员会，具体负责建立健全金融消费者权益保护机制，构筑健全的投诉处理机制、流程和岗位责任，及时妥善处理客户投诉事项，积极预防合规风险和声誉风险，负责指导、协调、处理客户投诉事项，督促、评价我行消费者权益保护工作的组织开展。委员会下设办公室，设在综合管理部，协助委员会积极开展消保工作，加强组织领导，确保工作扎实推进。</w:t>
      </w:r>
    </w:p>
    <w:p>
      <w:pPr>
        <w:spacing w:line="336" w:lineRule="auto"/>
        <w:ind w:firstLine="6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2、</w:t>
      </w:r>
      <w:r>
        <w:rPr>
          <w:rFonts w:hint="eastAsia" w:ascii="仿宋_GB2312" w:hAnsi="仿宋_GB2312" w:eastAsia="仿宋_GB2312" w:cs="仿宋_GB2312"/>
          <w:b/>
          <w:color w:val="000000" w:themeColor="text1"/>
          <w:sz w:val="32"/>
          <w:szCs w:val="32"/>
        </w:rPr>
        <w:t>制度机制建设</w:t>
      </w:r>
    </w:p>
    <w:p>
      <w:pPr>
        <w:pStyle w:val="2"/>
        <w:spacing w:line="336" w:lineRule="auto"/>
        <w:ind w:left="0" w:firstLine="640"/>
        <w:jc w:val="both"/>
        <w:rPr>
          <w:color w:val="000000" w:themeColor="text1"/>
          <w:sz w:val="30"/>
          <w:szCs w:val="30"/>
          <w:lang w:eastAsia="zh-CN"/>
        </w:rPr>
      </w:pPr>
      <w:r>
        <w:rPr>
          <w:rFonts w:hint="eastAsia" w:ascii="仿宋_GB2312" w:hAnsi="仿宋_GB2312" w:eastAsia="仿宋_GB2312" w:cs="仿宋_GB2312"/>
          <w:color w:val="000000" w:themeColor="text1"/>
          <w:sz w:val="32"/>
          <w:szCs w:val="32"/>
        </w:rPr>
        <w:t>我行围绕金融消费者权益保护工作，制定下发《云和联合村镇银行消费者投诉处理制度》、《云和联合村镇银行绩效考核办法》、《云和联合村镇银行营业网点重大事项应急处置预案》等制度规定。202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年进行全条线制度梳理，制定、修订、废止相关文件，</w:t>
      </w:r>
      <w:r>
        <w:rPr>
          <w:rFonts w:hint="eastAsia" w:ascii="仿宋_GB2312" w:hAnsi="仿宋_GB2312" w:eastAsia="仿宋_GB2312" w:cs="仿宋_GB2312"/>
          <w:color w:val="000000" w:themeColor="text1"/>
          <w:sz w:val="32"/>
          <w:szCs w:val="32"/>
          <w:lang w:eastAsia="zh-CN"/>
        </w:rPr>
        <w:t>出台了</w:t>
      </w:r>
      <w:r>
        <w:rPr>
          <w:rFonts w:hint="eastAsia" w:ascii="仿宋_GB2312" w:hAnsi="仿宋_GB2312" w:eastAsia="仿宋_GB2312" w:cs="仿宋_GB2312"/>
          <w:color w:val="000000" w:themeColor="text1"/>
          <w:sz w:val="32"/>
          <w:szCs w:val="32"/>
        </w:rPr>
        <w:t>《浙江云和联合村镇银行股份有限公司消费者权益保护审查管理办法》、《浙江云和联合村镇银行股份有限公司突发事件应急处置管理办法》，尤其是《金消费者权益保护审查管理办法》</w:t>
      </w:r>
      <w:r>
        <w:rPr>
          <w:rFonts w:hint="eastAsia" w:ascii="仿宋_GB2312" w:hAnsi="仿宋_GB2312" w:eastAsia="仿宋_GB2312" w:cs="仿宋_GB2312"/>
          <w:color w:val="000000" w:themeColor="text1"/>
          <w:sz w:val="32"/>
          <w:szCs w:val="32"/>
          <w:lang w:eastAsia="zh-CN"/>
        </w:rPr>
        <w:t>进一步加强消费者权益保护工作管理，规范本行消费者权益保护审查工作程序，维护本行安全稳健运行，</w:t>
      </w:r>
      <w:r>
        <w:rPr>
          <w:rFonts w:hint="eastAsia"/>
          <w:color w:val="000000" w:themeColor="text1"/>
          <w:sz w:val="30"/>
          <w:szCs w:val="30"/>
          <w:lang w:eastAsia="zh-CN"/>
        </w:rPr>
        <w:t>是指依据相关法律法规、监管规定及本行管理制度，对面向消费者提供的产品和服务，在设计开发、定价管理、协议制定等环节就可能影响消费者的政策、制度、业务规则、收费定价、协议 条款、宣传文本等进行评估审查，对相关风险进行识别和提示，并提出明确、具体的审查意见。</w:t>
      </w:r>
    </w:p>
    <w:p>
      <w:pPr>
        <w:spacing w:line="336" w:lineRule="auto"/>
        <w:ind w:firstLine="6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3、</w:t>
      </w:r>
      <w:r>
        <w:rPr>
          <w:rFonts w:hint="eastAsia" w:ascii="仿宋_GB2312" w:hAnsi="仿宋_GB2312" w:eastAsia="仿宋_GB2312" w:cs="仿宋_GB2312"/>
          <w:b/>
          <w:color w:val="000000" w:themeColor="text1"/>
          <w:sz w:val="32"/>
          <w:szCs w:val="32"/>
        </w:rPr>
        <w:t>行为规范</w:t>
      </w:r>
    </w:p>
    <w:p>
      <w:pPr>
        <w:spacing w:line="336" w:lineRule="auto"/>
        <w:ind w:firstLine="640"/>
        <w:rPr>
          <w:rFonts w:ascii="仿宋_GB2312" w:eastAsia="仿宋_GB2312"/>
          <w:b/>
          <w:color w:val="000000" w:themeColor="text1"/>
          <w:sz w:val="32"/>
          <w:szCs w:val="32"/>
        </w:rPr>
      </w:pPr>
      <w:r>
        <w:rPr>
          <w:rFonts w:hint="eastAsia" w:ascii="仿宋_GB2312" w:hAnsi="仿宋_GB2312" w:eastAsia="仿宋_GB2312" w:cs="仿宋_GB2312"/>
          <w:b/>
          <w:color w:val="000000" w:themeColor="text1"/>
          <w:sz w:val="32"/>
          <w:szCs w:val="32"/>
        </w:rPr>
        <w:t>一是</w:t>
      </w:r>
      <w:r>
        <w:rPr>
          <w:rFonts w:hint="eastAsia" w:ascii="仿宋_GB2312" w:hAnsi="仿宋_GB2312" w:eastAsia="仿宋_GB2312" w:cs="仿宋_GB2312"/>
          <w:color w:val="000000" w:themeColor="text1"/>
          <w:sz w:val="32"/>
          <w:szCs w:val="32"/>
        </w:rPr>
        <w:t>为提升员工的客户服务能力，有效保护金融消费者权益，我行在202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年共开展</w:t>
      </w:r>
      <w:r>
        <w:rPr>
          <w:rFonts w:hint="eastAsia" w:ascii="仿宋_GB2312" w:hAnsi="仿宋_GB2312" w:eastAsia="仿宋_GB2312" w:cs="仿宋_GB2312"/>
          <w:color w:val="000000" w:themeColor="text1"/>
          <w:sz w:val="32"/>
          <w:szCs w:val="32"/>
          <w:lang w:val="en-US" w:eastAsia="zh-CN"/>
        </w:rPr>
        <w:t>2次</w:t>
      </w:r>
      <w:r>
        <w:rPr>
          <w:rFonts w:hint="eastAsia" w:ascii="仿宋_GB2312" w:hAnsi="仿宋_GB2312" w:eastAsia="仿宋_GB2312" w:cs="仿宋_GB2312"/>
          <w:color w:val="000000" w:themeColor="text1"/>
          <w:sz w:val="32"/>
          <w:szCs w:val="32"/>
        </w:rPr>
        <w:t>相关培训，全行员工参加。通过现场讲解、学员互动等各种形式，将业务理论知识和实际客户问题处理能力相结合，将客户关心的业务处理热点和难点问题与典型案例分析处理相结合，使全体员工的业务技能和服务方式上得到有效提升，服务水平得到了进一步的增强。运营条线针对柜面人员开展专项培训，在每月运营条线例会上加强消保相关知识的学习，提高消保培训频次，提高柜员服务意识，增强培训有效性。</w:t>
      </w:r>
      <w:r>
        <w:rPr>
          <w:rFonts w:hint="eastAsia" w:ascii="仿宋_GB2312" w:hAnsi="仿宋_GB2312" w:eastAsia="仿宋_GB2312" w:cs="仿宋_GB2312"/>
          <w:b/>
          <w:color w:val="000000" w:themeColor="text1"/>
          <w:sz w:val="32"/>
          <w:szCs w:val="32"/>
        </w:rPr>
        <w:t>二是</w:t>
      </w:r>
      <w:r>
        <w:rPr>
          <w:rFonts w:hint="eastAsia" w:ascii="仿宋_GB2312" w:hAnsi="仿宋_GB2312" w:eastAsia="仿宋_GB2312" w:cs="仿宋_GB2312"/>
          <w:color w:val="000000" w:themeColor="text1"/>
          <w:sz w:val="32"/>
          <w:szCs w:val="32"/>
        </w:rPr>
        <w:t>把消费者权益保护工作前置渗透到各项具体的业务中，向金融消费者全面、完整提供有关金融产品或服务的真实信息，对复杂产品、关键条款或者交易条件以通俗易懂的语言向消费者说明，进行充分的信息披露和必要的风险提示。目前，我行各项中间业务均实行免费制，不向消费者收取任何的手续费，不作虚假宣传。</w:t>
      </w:r>
      <w:r>
        <w:rPr>
          <w:rFonts w:hint="eastAsia" w:ascii="仿宋_GB2312" w:hAnsi="仿宋_GB2312" w:eastAsia="仿宋_GB2312" w:cs="仿宋_GB2312"/>
          <w:b/>
          <w:color w:val="000000" w:themeColor="text1"/>
          <w:sz w:val="32"/>
          <w:szCs w:val="32"/>
        </w:rPr>
        <w:t>三是</w:t>
      </w:r>
      <w:r>
        <w:rPr>
          <w:rFonts w:hint="eastAsia" w:ascii="仿宋_GB2312" w:hAnsi="仿宋_GB2312" w:eastAsia="仿宋_GB2312" w:cs="仿宋_GB2312"/>
          <w:color w:val="000000" w:themeColor="text1"/>
          <w:sz w:val="32"/>
          <w:szCs w:val="32"/>
        </w:rPr>
        <w:t>严格按照《云和联合村镇银行重要岗位人员轮岗、强制休假和聘用回避制度》进行关键岗位人员轮换及强制休假，进一步加大防范操作风险和防案控案力度，加强员工队伍建设。同时组织开展各类突发事件应急演练，提高防范能力。</w:t>
      </w:r>
      <w:r>
        <w:rPr>
          <w:rFonts w:hint="eastAsia" w:ascii="仿宋_GB2312" w:hAnsi="仿宋_GB2312" w:eastAsia="仿宋_GB2312" w:cs="仿宋_GB2312"/>
          <w:b/>
          <w:color w:val="000000" w:themeColor="text1"/>
          <w:sz w:val="32"/>
          <w:szCs w:val="32"/>
        </w:rPr>
        <w:t>四是</w:t>
      </w:r>
      <w:r>
        <w:rPr>
          <w:rFonts w:hint="eastAsia" w:ascii="仿宋_GB2312" w:hAnsi="仿宋_GB2312" w:eastAsia="仿宋_GB2312" w:cs="仿宋_GB2312"/>
          <w:color w:val="000000" w:themeColor="text1"/>
          <w:sz w:val="32"/>
          <w:szCs w:val="32"/>
        </w:rPr>
        <w:t>开展员工征信、无犯罪记录证明、出入境记录查询，特别是认真检查全行员工资金交易和流向，进一步落实了员工行为排查，掌握员工思想行为动态，及时解决苗头性、倾向性问题，有效防范和化解操作风险。另外组织新老员工培训，开展学生师傅结对帮扶带等工作，强化员工职业操守教育、内部管理体制教育，规范员工行为，筑牢道德风险防线，全面建设员工合规文化。</w:t>
      </w:r>
      <w:r>
        <w:rPr>
          <w:rFonts w:hint="eastAsia" w:ascii="仿宋_GB2312" w:hAnsi="仿宋_GB2312" w:eastAsia="仿宋_GB2312" w:cs="仿宋_GB2312"/>
          <w:b/>
          <w:color w:val="000000" w:themeColor="text1"/>
          <w:sz w:val="32"/>
          <w:szCs w:val="32"/>
        </w:rPr>
        <w:t>五是</w:t>
      </w:r>
      <w:r>
        <w:rPr>
          <w:rFonts w:hint="eastAsia" w:ascii="仿宋_GB2312" w:hAnsi="仿宋_GB2312" w:eastAsia="仿宋_GB2312" w:cs="仿宋_GB2312"/>
          <w:color w:val="000000" w:themeColor="text1"/>
          <w:sz w:val="32"/>
          <w:szCs w:val="32"/>
        </w:rPr>
        <w:t>配备硬件设施。为严格落实文明服务和消费者权益相关规范要求，根据村镇管理部指引制定了我行网点评价方案，开展网点评价自查，切实提高了网点环境和服务形象，做到厅堂环境升级。坚决落实文明规范服务工作计划，强化检查辅导，让文明规范服务规范化、制度化。一方面，做好柜面厅堂服务工作，关注服务细节，使各项服务标准化，通过组织开展柜面技能大赛、6S管理等方面固化服务理念行为规范化。另一方面根据客户分层分类机制，让客户认可我们的服务，特别是针对老弱病残孕等金融消费者群体给予便利化服务与指引，做到客户服务升温。</w:t>
      </w:r>
      <w:r>
        <w:rPr>
          <w:rFonts w:hint="eastAsia" w:ascii="仿宋_GB2312" w:hAnsi="仿宋_GB2312" w:eastAsia="仿宋_GB2312" w:cs="仿宋_GB2312"/>
          <w:b/>
          <w:color w:val="000000" w:themeColor="text1"/>
          <w:sz w:val="32"/>
          <w:szCs w:val="32"/>
        </w:rPr>
        <w:t>六是</w:t>
      </w:r>
      <w:r>
        <w:rPr>
          <w:rFonts w:hint="eastAsia" w:ascii="仿宋_GB2312" w:hAnsi="仿宋_GB2312" w:eastAsia="仿宋_GB2312" w:cs="仿宋_GB2312"/>
          <w:color w:val="000000" w:themeColor="text1"/>
          <w:sz w:val="32"/>
          <w:szCs w:val="32"/>
        </w:rPr>
        <w:t>开展金融知识宣传和教育活动，提升社会公众对金融产品的认识水平，消除消费者对金融产品、金融市场、金融惯例的不了解而导致的误解和矛盾，提升银行的行业信誉和公信力，减少消费者不必要的矛盾和纠纷。活动中结合日常社区及农村地区金融服务与营销工作，开展金融知识讲座，尤其对中老年客户、文化程度较低等人群做好服务安全与风险宣传。开展多种多样的宣传活动由“点”到“面”全面铺开，引导了社会公众科学合理使用银行产品和服务。进一步提升了消费者保障自身资产财产安全的意识和能力，并且在活动中提升了我行自身信用品质，影响和带动客户信用品质的提升，积极推动和促进社会信用环境的改善，提高了社会公众的金融知识素养。</w:t>
      </w:r>
      <w:r>
        <w:rPr>
          <w:rFonts w:hint="eastAsia" w:ascii="仿宋_GB2312" w:hAnsi="仿宋_GB2312" w:eastAsia="仿宋_GB2312" w:cs="仿宋_GB2312"/>
          <w:b/>
          <w:color w:val="000000" w:themeColor="text1"/>
          <w:sz w:val="32"/>
          <w:szCs w:val="32"/>
        </w:rPr>
        <w:t>七是</w:t>
      </w:r>
      <w:r>
        <w:rPr>
          <w:rFonts w:hint="eastAsia" w:ascii="仿宋_GB2312" w:hAnsi="仿宋_GB2312" w:eastAsia="仿宋_GB2312" w:cs="仿宋_GB2312"/>
          <w:color w:val="000000" w:themeColor="text1"/>
          <w:sz w:val="32"/>
          <w:szCs w:val="32"/>
        </w:rPr>
        <w:t>深入贯彻落实党的群众路线，持续推动金融知识普及。我行已在县所有街道所辖的社区、行政村，其他乡镇过半的行政村</w:t>
      </w:r>
      <w:r>
        <w:rPr>
          <w:rFonts w:hint="eastAsia" w:ascii="仿宋_GB2312" w:hAnsi="仿宋_GB2312" w:eastAsia="仿宋_GB2312" w:cs="仿宋_GB2312"/>
          <w:color w:val="000000" w:themeColor="text1"/>
          <w:sz w:val="32"/>
          <w:szCs w:val="32"/>
          <w:lang w:val="en-US" w:eastAsia="zh-CN"/>
        </w:rPr>
        <w:t>全面</w:t>
      </w:r>
      <w:r>
        <w:rPr>
          <w:rFonts w:hint="eastAsia" w:ascii="仿宋_GB2312" w:hAnsi="仿宋_GB2312" w:eastAsia="仿宋_GB2312" w:cs="仿宋_GB2312"/>
          <w:color w:val="000000" w:themeColor="text1"/>
          <w:sz w:val="32"/>
          <w:szCs w:val="32"/>
        </w:rPr>
        <w:t>开展了社区化、村居化营销活动，并向群众普及基础金融知识，尽职尽责践行金融服务。立足本职岗位，帮助消费者识别金融交易安全隐患，传播养老金融专业知识，提供理便捷、更高效、更专业、更有针对性的金融产品和金融服务。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年，我行开展了金融知识宣传月、防范非法集资、金融知识万里行、普及金融知识·守住钱袋子等系列活动。深入企业、网格村</w:t>
      </w:r>
      <w:r>
        <w:rPr>
          <w:rFonts w:hint="eastAsia" w:ascii="仿宋_GB2312" w:hAnsi="仿宋_GB2312" w:eastAsia="仿宋_GB2312" w:cs="仿宋_GB2312"/>
          <w:color w:val="000000" w:themeColor="text1"/>
          <w:sz w:val="32"/>
          <w:szCs w:val="32"/>
          <w:lang w:eastAsia="zh-CN"/>
        </w:rPr>
        <w:t>、广场</w:t>
      </w:r>
      <w:r>
        <w:rPr>
          <w:rFonts w:hint="eastAsia" w:ascii="仿宋_GB2312" w:hAnsi="仿宋_GB2312" w:eastAsia="仿宋_GB2312" w:cs="仿宋_GB2312"/>
          <w:color w:val="000000" w:themeColor="text1"/>
          <w:sz w:val="32"/>
          <w:szCs w:val="32"/>
        </w:rPr>
        <w:t>等地进行群众金融知识宣教。企业开立工资户，营销与宣传两不误; 网格村走访，服务宣传双管齐下;</w:t>
      </w:r>
      <w:r>
        <w:rPr>
          <w:rFonts w:hint="eastAsia" w:ascii="仿宋_GB2312" w:hAnsi="仿宋_GB2312" w:eastAsia="仿宋_GB2312" w:cs="仿宋_GB2312"/>
          <w:color w:val="000000" w:themeColor="text1"/>
          <w:sz w:val="32"/>
          <w:szCs w:val="32"/>
          <w:lang w:eastAsia="zh-CN"/>
        </w:rPr>
        <w:t>广场摆摊宣传，金融知识广普及。</w:t>
      </w:r>
      <w:r>
        <w:rPr>
          <w:rFonts w:hint="eastAsia" w:ascii="仿宋_GB2312" w:hAnsi="仿宋_GB2312" w:eastAsia="仿宋_GB2312" w:cs="仿宋_GB2312"/>
          <w:color w:val="000000" w:themeColor="text1"/>
          <w:sz w:val="32"/>
          <w:szCs w:val="32"/>
        </w:rPr>
        <w:t>把金融知识普及工作常态化，提高金融知识普及活动的力度和广度，践行社会责任，为社会公众提供更加优质的金融服务。通过这些活动，有力的促进了我行存款业务发展和结构优化。</w:t>
      </w:r>
    </w:p>
    <w:p>
      <w:pPr>
        <w:spacing w:line="336" w:lineRule="auto"/>
        <w:ind w:firstLine="6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4、</w:t>
      </w:r>
      <w:r>
        <w:rPr>
          <w:rFonts w:hint="eastAsia" w:ascii="仿宋_GB2312" w:hAnsi="仿宋_GB2312" w:eastAsia="仿宋_GB2312" w:cs="仿宋_GB2312"/>
          <w:b/>
          <w:color w:val="000000" w:themeColor="text1"/>
          <w:sz w:val="32"/>
          <w:szCs w:val="32"/>
        </w:rPr>
        <w:t>消费者金融信息保护</w:t>
      </w:r>
    </w:p>
    <w:p>
      <w:pPr>
        <w:spacing w:line="336" w:lineRule="auto"/>
        <w:ind w:firstLine="643"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b/>
          <w:color w:val="000000" w:themeColor="text1"/>
          <w:sz w:val="32"/>
          <w:szCs w:val="32"/>
        </w:rPr>
        <w:t>一是</w:t>
      </w:r>
      <w:r>
        <w:rPr>
          <w:rFonts w:hint="eastAsia" w:ascii="仿宋_GB2312" w:hAnsi="仿宋_GB2312" w:eastAsia="仿宋_GB2312" w:cs="仿宋_GB2312"/>
          <w:color w:val="000000" w:themeColor="text1"/>
          <w:sz w:val="32"/>
          <w:szCs w:val="32"/>
        </w:rPr>
        <w:t>金融消费者在接受我行金融服务时，我行遵守为客户保密的原则，对ATM机、网银系统、征信系统、账户管理系统、CRM系统等采取了设置访问权限、增加身份识别功能等措施保护客户个人金融信息。办理司法查询时以验看协查通知书、相关司法文书、留存查询人员身份证件等措施确保金融消费者的个人</w:t>
      </w:r>
      <w:r>
        <w:rPr>
          <w:rFonts w:hint="eastAsia" w:ascii="仿宋_GB2312" w:hAnsi="仿宋_GB2312" w:eastAsia="仿宋_GB2312" w:cs="仿宋_GB2312"/>
          <w:color w:val="000000" w:themeColor="text1"/>
          <w:sz w:val="32"/>
          <w:szCs w:val="32"/>
          <w:lang w:eastAsia="zh-CN"/>
        </w:rPr>
        <w:t>隐私</w:t>
      </w:r>
      <w:r>
        <w:rPr>
          <w:rFonts w:hint="eastAsia" w:ascii="仿宋_GB2312" w:hAnsi="仿宋_GB2312" w:eastAsia="仿宋_GB2312" w:cs="仿宋_GB2312"/>
          <w:color w:val="000000" w:themeColor="text1"/>
          <w:sz w:val="32"/>
          <w:szCs w:val="32"/>
        </w:rPr>
        <w:t>及信息安全，建立了相应的内部控制制度及安全的信息系统保护金融消费者的财产不受侵害。</w:t>
      </w:r>
      <w:r>
        <w:rPr>
          <w:rFonts w:hint="eastAsia" w:ascii="仿宋_GB2312" w:hAnsi="仿宋_GB2312" w:eastAsia="仿宋_GB2312" w:cs="仿宋_GB2312"/>
          <w:b/>
          <w:color w:val="000000" w:themeColor="text1"/>
          <w:sz w:val="32"/>
          <w:szCs w:val="32"/>
        </w:rPr>
        <w:t>二是</w:t>
      </w:r>
      <w:r>
        <w:rPr>
          <w:rFonts w:hint="eastAsia" w:ascii="仿宋_GB2312" w:hAnsi="仿宋_GB2312" w:eastAsia="仿宋_GB2312" w:cs="仿宋_GB2312"/>
          <w:color w:val="000000" w:themeColor="text1"/>
          <w:sz w:val="32"/>
          <w:szCs w:val="32"/>
        </w:rPr>
        <w:t>在员工入行前均签订保密协议，严格落实从业人员信息保护要求，对知悉的个人信息予以保密，且遵循合法、合理、必要原则收集个人金融信息，不存在违反规定收集个人信息的情况。严格按照授权范围、权限、程序使用个人金融信息，按照国家档案管理规定、国家电子数据管理规定，妥善保管所收集的个人信息，不存在境内数据向境外转移的情况。</w:t>
      </w:r>
      <w:r>
        <w:rPr>
          <w:rFonts w:hint="eastAsia" w:ascii="仿宋_GB2312" w:hAnsi="仿宋_GB2312" w:eastAsia="仿宋_GB2312" w:cs="仿宋_GB2312"/>
          <w:b/>
          <w:color w:val="000000" w:themeColor="text1"/>
          <w:sz w:val="32"/>
          <w:szCs w:val="32"/>
        </w:rPr>
        <w:t>三是</w:t>
      </w:r>
      <w:r>
        <w:rPr>
          <w:rFonts w:hint="eastAsia" w:ascii="仿宋_GB2312" w:hAnsi="仿宋_GB2312" w:eastAsia="仿宋_GB2312" w:cs="仿宋_GB2312"/>
          <w:color w:val="000000" w:themeColor="text1"/>
          <w:sz w:val="32"/>
          <w:szCs w:val="32"/>
        </w:rPr>
        <w:t>充分做好重点时期金融网络和信息系统安全保障工作，防范行内信息科技风险，保障计算机系统运行和操作安全，建立和完善信息科技风险管理机制。做好对在岗同事的计算机信息安全教育，全面提升员工安全意识，高度重视数据安全，禁止存有客户资料的外网电脑连接非本行网络。全面禁用外部U盘，加强重要敏感数据据的外发审批，落实员工数据安全意识的宣贯。</w:t>
      </w:r>
    </w:p>
    <w:p>
      <w:pPr>
        <w:spacing w:line="336" w:lineRule="auto"/>
        <w:ind w:firstLine="600"/>
        <w:rPr>
          <w:rFonts w:ascii="仿宋_GB2312" w:hAnsi="仿宋_GB2312" w:eastAsia="仿宋_GB2312" w:cs="仿宋_GB2312"/>
          <w:b/>
          <w:color w:val="000000" w:themeColor="text1"/>
          <w:sz w:val="32"/>
          <w:szCs w:val="32"/>
        </w:rPr>
      </w:pPr>
      <w:r>
        <w:rPr>
          <w:rFonts w:hint="eastAsia" w:ascii="仿宋_GB2312" w:hAnsi="仿宋_GB2312" w:eastAsia="仿宋_GB2312" w:cs="仿宋_GB2312"/>
          <w:b/>
          <w:color w:val="000000" w:themeColor="text1"/>
          <w:sz w:val="32"/>
          <w:szCs w:val="32"/>
          <w:lang w:val="en-US" w:eastAsia="zh-CN"/>
        </w:rPr>
        <w:t>5、</w:t>
      </w:r>
      <w:r>
        <w:rPr>
          <w:rFonts w:hint="eastAsia" w:ascii="仿宋_GB2312" w:hAnsi="仿宋_GB2312" w:eastAsia="仿宋_GB2312" w:cs="仿宋_GB2312"/>
          <w:b/>
          <w:color w:val="000000" w:themeColor="text1"/>
          <w:sz w:val="32"/>
          <w:szCs w:val="32"/>
        </w:rPr>
        <w:t>金融消费争议解决</w:t>
      </w:r>
    </w:p>
    <w:p>
      <w:pPr>
        <w:spacing w:line="336" w:lineRule="auto"/>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2022年度</w:t>
      </w:r>
      <w:r>
        <w:rPr>
          <w:rFonts w:hint="eastAsia" w:ascii="仿宋_GB2312" w:hAnsi="仿宋_GB2312" w:eastAsia="仿宋_GB2312" w:cs="仿宋_GB2312"/>
          <w:color w:val="000000" w:themeColor="text1"/>
          <w:sz w:val="32"/>
          <w:szCs w:val="32"/>
        </w:rPr>
        <w:t>，我行</w:t>
      </w:r>
      <w:r>
        <w:rPr>
          <w:rFonts w:hint="eastAsia" w:ascii="仿宋_GB2312" w:hAnsi="仿宋_GB2312" w:eastAsia="仿宋_GB2312" w:cs="仿宋_GB2312"/>
          <w:color w:val="000000" w:themeColor="text1"/>
          <w:sz w:val="32"/>
          <w:szCs w:val="32"/>
          <w:lang w:eastAsia="zh-CN"/>
        </w:rPr>
        <w:t>未发生</w:t>
      </w:r>
      <w:r>
        <w:rPr>
          <w:rFonts w:hint="eastAsia" w:ascii="仿宋_GB2312" w:hAnsi="仿宋_GB2312" w:eastAsia="仿宋_GB2312" w:cs="仿宋_GB2312"/>
          <w:color w:val="000000" w:themeColor="text1"/>
          <w:sz w:val="32"/>
          <w:szCs w:val="32"/>
        </w:rPr>
        <w:t>消费者投诉</w:t>
      </w:r>
      <w:r>
        <w:rPr>
          <w:rFonts w:hint="eastAsia" w:ascii="仿宋_GB2312" w:hAnsi="仿宋_GB2312" w:eastAsia="仿宋_GB2312" w:cs="仿宋_GB2312"/>
          <w:color w:val="000000" w:themeColor="text1"/>
          <w:sz w:val="32"/>
          <w:szCs w:val="32"/>
          <w:lang w:eastAsia="zh-CN"/>
        </w:rPr>
        <w:t>事件，且</w:t>
      </w:r>
      <w:r>
        <w:rPr>
          <w:rFonts w:hint="eastAsia" w:ascii="仿宋_GB2312" w:hAnsi="仿宋_GB2312" w:eastAsia="仿宋_GB2312" w:cs="仿宋_GB2312"/>
          <w:color w:val="000000" w:themeColor="text1"/>
          <w:sz w:val="32"/>
          <w:szCs w:val="32"/>
        </w:rPr>
        <w:t>我行未出现与消费者保护相关的重大突发事件和负面舆情，未发生诉讼和仲裁事件，也未发生违法法律法规、虚假宣传、误导或欺骗消费者引发的投诉或群体性事件及发生个人金融信息泄露，未造成社会影响事件，工作成效明显，积极做好投诉应对工作。我行在各营业网点及网站上公布了消费者投诉电话、投诉方式和投诉处理流程，并根据实际进一步完善了投诉管理机制，制定了投诉处理工作流程，客户投诉处理工作办公室设在综合管理部，综合管理部第一时间进行跟踪、监督和处理，真心实意地帮助消费者解答疑问、解决问题，使银行业消费者在与员工发生业务往来的各个阶段始终得到公平、公正和诚信的对待。</w:t>
      </w:r>
    </w:p>
    <w:p>
      <w:pPr>
        <w:spacing w:line="336" w:lineRule="auto"/>
        <w:ind w:firstLine="643" w:firstLineChars="200"/>
        <w:jc w:val="left"/>
        <w:rPr>
          <w:rFonts w:hint="eastAsia" w:ascii="仿宋_GB2312" w:hAnsi="仿宋_GB2312" w:eastAsia="仿宋_GB2312" w:cs="仿宋_GB2312"/>
          <w:b/>
          <w:bCs/>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6、重大创新创优</w:t>
      </w:r>
    </w:p>
    <w:p>
      <w:pPr>
        <w:spacing w:line="336" w:lineRule="auto"/>
        <w:ind w:firstLine="640" w:firstLineChars="200"/>
        <w:jc w:val="left"/>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2022年，我行上门服务农村创业青年263人次，提供创业咨询服务263人次。提供6个特色信贷产品，如两山▪信农贷，兴农贷，联合快贷等，授信金额64248万元，累计发放贷款135362万元，其中贷款余额27637万元。有效解决了农村青年创业资金难得问题，帮助一批有志向、有技能、有项目、有信誉的农村青年自主创业。同时，为进一步弘扬社会主义核心价值观，通过实践体验提升少年儿童全面综合素质，助力少年儿童健康成长。扩大我行市场影响力，结合以“小小银行家 成就大梦想”主题活动，推出儿童成长存折。截至2022年末，新开立儿童成长存折956户，户均存款5511元，新揽定期存款529.61万元，新增存款有效户893户，其中儿童成长存折开立户数占全县适龄儿童的16.82%左右，为双基业务拓展打下基础。</w:t>
      </w:r>
    </w:p>
    <w:p>
      <w:pPr>
        <w:spacing w:line="336" w:lineRule="auto"/>
        <w:ind w:firstLine="600"/>
        <w:rPr>
          <w:rFonts w:ascii="仿宋_GB2312" w:hAnsi="宋体" w:eastAsia="仿宋_GB2312"/>
          <w:b/>
          <w:color w:val="000000" w:themeColor="text1"/>
          <w:sz w:val="32"/>
          <w:szCs w:val="32"/>
        </w:rPr>
      </w:pPr>
      <w:r>
        <w:rPr>
          <w:rFonts w:hint="eastAsia" w:ascii="仿宋_GB2312" w:hAnsi="宋体" w:eastAsia="仿宋_GB2312"/>
          <w:b/>
          <w:color w:val="000000" w:themeColor="text1"/>
          <w:sz w:val="32"/>
          <w:szCs w:val="32"/>
        </w:rPr>
        <w:t>四、主要风险管理</w:t>
      </w:r>
    </w:p>
    <w:p>
      <w:pPr>
        <w:pStyle w:val="3"/>
        <w:spacing w:before="0" w:beforeAutospacing="0" w:after="0" w:afterAutospacing="0" w:line="336" w:lineRule="auto"/>
        <w:ind w:left="435"/>
        <w:rPr>
          <w:rFonts w:ascii="仿宋_GB2312" w:eastAsia="仿宋_GB2312"/>
          <w:b/>
          <w:color w:val="000000" w:themeColor="text1"/>
          <w:sz w:val="32"/>
          <w:szCs w:val="32"/>
        </w:rPr>
      </w:pPr>
      <w:r>
        <w:rPr>
          <w:rFonts w:hint="eastAsia" w:ascii="仿宋_GB2312" w:eastAsia="仿宋_GB2312"/>
          <w:b/>
          <w:color w:val="000000" w:themeColor="text1"/>
          <w:sz w:val="32"/>
          <w:szCs w:val="32"/>
        </w:rPr>
        <w:t>（一）风险管理概述</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行的经营活动面临多种金融风险。本行分析、评估、接受和管理某种程度的风险，或风险组合。管理风险对于金融行业至关重要，同时商业运营也必然会带来经营风险。本行的目标是达到风险与收益之间恰当的平衡，同时尽量减少对本行财务报表的不利影响。</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本行制定风险管理政策的目的是通过识别并分析相关风险，制定适当的风险限额和控制程序，并通过可靠的程序对风险及其限额进行监控。</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行董事会制定本行的风险管理策略。本行高级管理层根据董事会制定的风险管理策略，制定相应的风险管理政策及程序，包括流动性风险、信贷资产风险、操作风险等专项风险管理政策。这些风险管理政策及程序经董事会批准后由管理层负责执行。监事会负责监督董事会、经营管理层风险管理的有效性。</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本行面临的主要经营风险为信用风险和流动性风险。</w:t>
      </w:r>
    </w:p>
    <w:p>
      <w:pPr>
        <w:pStyle w:val="3"/>
        <w:spacing w:before="0" w:beforeAutospacing="0" w:after="0" w:afterAutospacing="0" w:line="336" w:lineRule="auto"/>
        <w:ind w:left="435"/>
        <w:rPr>
          <w:rFonts w:ascii="仿宋_GB2312" w:eastAsia="仿宋_GB2312"/>
          <w:b/>
          <w:color w:val="000000" w:themeColor="text1"/>
          <w:sz w:val="32"/>
          <w:szCs w:val="32"/>
        </w:rPr>
      </w:pPr>
      <w:r>
        <w:rPr>
          <w:rFonts w:hint="eastAsia" w:ascii="仿宋_GB2312" w:eastAsia="仿宋_GB2312"/>
          <w:b/>
          <w:color w:val="000000" w:themeColor="text1"/>
          <w:sz w:val="32"/>
          <w:szCs w:val="32"/>
        </w:rPr>
        <w:t>（二）信用风险</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行的信用风险是指由于客户或交易对手未能履行义务而导致本行蒙受财务损失的风险。信用风险是本行业务经营所面临最重大的风险之一。经济环境变化或本行资产组合中某一特定行业分部的信用质量发生变化都将导致和资产负债表日已计提准备不同的损失。倘交易对方集中于同类行业或地理区域，信用风险集中度将会增加。表内的信用风险暴露包括客户贷款及同业往来等。目前本行业务大部分集中于中国浙江省丽水市云和县。这表明本行的授信资产组合存在集中性风险，较易受到地域性经济状况变动的影响。因此，管理层谨慎管理其信用风险暴露。银行整体的信用风险日常管理（包括贷款及同业往来等）由总行的风险合规部负责，并定期向本行高级管理层进行汇报。本行已建立相关机制，制定个别借款人可承受的信用风险额度，本行定期监控上述信用风险额度，并至少每年进行一次审核。</w:t>
      </w:r>
    </w:p>
    <w:p>
      <w:pPr>
        <w:pStyle w:val="3"/>
        <w:spacing w:before="0" w:beforeAutospacing="0" w:after="0" w:afterAutospacing="0" w:line="336"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1.信用风险的计量</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贷款及信用承诺</w:t>
      </w:r>
    </w:p>
    <w:p>
      <w:pPr>
        <w:pStyle w:val="3"/>
        <w:snapToGrid w:val="0"/>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风险合规部负责集中监控和评估发放贷款和垫款信用风险，定期向高级管理层和董事会报告。 </w:t>
      </w:r>
    </w:p>
    <w:p>
      <w:pPr>
        <w:pStyle w:val="3"/>
        <w:snapToGrid w:val="0"/>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本行主要基于客户对约定义务的“违约可能性”和财务状况，并考虑当前的信用敞口及未来可能的发展趋势，计量企业贷款和垫款的信用风险。 </w:t>
      </w:r>
    </w:p>
    <w:p>
      <w:pPr>
        <w:pStyle w:val="3"/>
        <w:snapToGrid w:val="0"/>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行根据《农村合作金融机构信贷资产风险分类指引》（银监发〔2006〕23号）要求农村合作金融机构将企业及个人贷款划分为五级（正常、关注、次级、可疑和损失，其中次级、可疑和损失类贷款被视为不良贷款）：</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五级贷款的定义分别为： </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正常：借款人能够履行合同，没有足够理由怀疑贷款本息不能按时足额偿还。 </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关注：尽管借款人目前有能力偿还贷款本息，但存在一些可能对偿还产生不利影响的因素。 </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次级：借款人的还款能力出现明显问题，完全依靠其正常营业收入无法足额偿还贷款本息，即使执行担保，也可能会造成一定损失。 </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可疑：借款人无法足额偿还贷款本息，即使执行担保，也肯定要造成较大损失。 </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损失：在采取所有可能的措施或一切必要的法律程序之后，本息仍然无法收回，或只能收回极少部分。</w:t>
      </w:r>
    </w:p>
    <w:p>
      <w:pPr>
        <w:pStyle w:val="3"/>
        <w:spacing w:before="0" w:beforeAutospacing="0" w:after="0" w:afterAutospacing="0" w:line="336"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2.信用风险控制和缓释政策</w:t>
      </w:r>
    </w:p>
    <w:p>
      <w:pPr>
        <w:pStyle w:val="3"/>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 xml:space="preserve">本行进行客户层面的风险限额管理，并同时监控单一客户及行业的风险集中度。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kern w:val="0"/>
          <w:sz w:val="32"/>
          <w:szCs w:val="32"/>
        </w:rPr>
        <w:t>本行通过一系列政策和措施降低信用风险。其中，最通用的方法是要求借款人交付保证金、提供抵质押品或担保。</w:t>
      </w:r>
    </w:p>
    <w:p>
      <w:pPr>
        <w:pStyle w:val="3"/>
        <w:spacing w:before="0" w:beforeAutospacing="0" w:after="0" w:afterAutospacing="0" w:line="336"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3.发放贷款和垫款</w:t>
      </w:r>
    </w:p>
    <w:p>
      <w:pPr>
        <w:pStyle w:val="13"/>
        <w:spacing w:line="336" w:lineRule="auto"/>
        <w:ind w:left="349" w:firstLine="0" w:firstLineChars="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（1）贷款和垫款风险集中度 </w:t>
      </w:r>
    </w:p>
    <w:p>
      <w:pPr>
        <w:snapToGrid w:val="0"/>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本行最大十家客户贷款情况如下：</w:t>
      </w:r>
    </w:p>
    <w:tbl>
      <w:tblPr>
        <w:tblStyle w:val="6"/>
        <w:tblW w:w="9213" w:type="dxa"/>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3211"/>
        <w:gridCol w:w="1134"/>
        <w:gridCol w:w="615"/>
        <w:gridCol w:w="1086"/>
        <w:gridCol w:w="966"/>
        <w:gridCol w:w="909"/>
        <w:gridCol w:w="1292"/>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户名</w:t>
            </w:r>
          </w:p>
        </w:tc>
        <w:tc>
          <w:tcPr>
            <w:tcW w:w="1134"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贷款</w:t>
            </w:r>
          </w:p>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（含贴现）</w:t>
            </w:r>
          </w:p>
        </w:tc>
        <w:tc>
          <w:tcPr>
            <w:tcW w:w="615"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承兑汇票</w:t>
            </w:r>
          </w:p>
        </w:tc>
        <w:tc>
          <w:tcPr>
            <w:tcW w:w="1086"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其他表外融资余额</w:t>
            </w:r>
          </w:p>
        </w:tc>
        <w:tc>
          <w:tcPr>
            <w:tcW w:w="966"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合计</w:t>
            </w:r>
          </w:p>
        </w:tc>
        <w:tc>
          <w:tcPr>
            <w:tcW w:w="909"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占资本净额比例（%）</w:t>
            </w:r>
          </w:p>
        </w:tc>
        <w:tc>
          <w:tcPr>
            <w:tcW w:w="1292"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贷款五级分类</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朱健</w:t>
            </w:r>
          </w:p>
        </w:tc>
        <w:tc>
          <w:tcPr>
            <w:tcW w:w="1134"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450</w:t>
            </w:r>
          </w:p>
        </w:tc>
        <w:tc>
          <w:tcPr>
            <w:tcW w:w="615"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1086"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966"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450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3.29%</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刘海英</w:t>
            </w:r>
          </w:p>
        </w:tc>
        <w:tc>
          <w:tcPr>
            <w:tcW w:w="1134"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1086"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966"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钱仁林</w:t>
            </w:r>
          </w:p>
        </w:tc>
        <w:tc>
          <w:tcPr>
            <w:tcW w:w="1134"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1086"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966"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陈火娟</w:t>
            </w:r>
          </w:p>
        </w:tc>
        <w:tc>
          <w:tcPr>
            <w:tcW w:w="1134"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1086"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966"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邱金兰</w:t>
            </w:r>
          </w:p>
        </w:tc>
        <w:tc>
          <w:tcPr>
            <w:tcW w:w="1134"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1086" w:type="dxa"/>
            <w:shd w:val="clear" w:color="000000" w:fill="FFFFFF"/>
            <w:vAlign w:val="center"/>
          </w:tcPr>
          <w:p>
            <w:pPr>
              <w:widowControl/>
              <w:snapToGrid w:val="0"/>
              <w:jc w:val="center"/>
              <w:rPr>
                <w:rFonts w:ascii="Arial Narrow" w:hAnsi="Arial Narrow" w:cs="宋体"/>
                <w:color w:val="000000" w:themeColor="text1"/>
                <w:kern w:val="0"/>
                <w:sz w:val="18"/>
                <w:szCs w:val="18"/>
              </w:rPr>
            </w:pPr>
          </w:p>
        </w:tc>
        <w:tc>
          <w:tcPr>
            <w:tcW w:w="966" w:type="dxa"/>
            <w:shd w:val="clear" w:color="000000" w:fill="FFFFFF"/>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陈奕文</w:t>
            </w:r>
          </w:p>
        </w:tc>
        <w:tc>
          <w:tcPr>
            <w:tcW w:w="1134"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vAlign w:val="center"/>
          </w:tcPr>
          <w:p>
            <w:pPr>
              <w:widowControl/>
              <w:snapToGrid w:val="0"/>
              <w:jc w:val="center"/>
              <w:rPr>
                <w:rFonts w:ascii="Arial Narrow" w:hAnsi="Arial Narrow" w:cs="宋体"/>
                <w:color w:val="000000" w:themeColor="text1"/>
                <w:kern w:val="0"/>
                <w:sz w:val="18"/>
                <w:szCs w:val="18"/>
              </w:rPr>
            </w:pPr>
          </w:p>
        </w:tc>
        <w:tc>
          <w:tcPr>
            <w:tcW w:w="1086" w:type="dxa"/>
            <w:vAlign w:val="center"/>
          </w:tcPr>
          <w:p>
            <w:pPr>
              <w:widowControl/>
              <w:snapToGrid w:val="0"/>
              <w:jc w:val="center"/>
              <w:rPr>
                <w:rFonts w:ascii="Arial Narrow" w:hAnsi="Arial Narrow" w:cs="宋体"/>
                <w:color w:val="000000" w:themeColor="text1"/>
                <w:kern w:val="0"/>
                <w:sz w:val="18"/>
                <w:szCs w:val="18"/>
              </w:rPr>
            </w:pPr>
          </w:p>
        </w:tc>
        <w:tc>
          <w:tcPr>
            <w:tcW w:w="966"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云和县住宅建设有限公司</w:t>
            </w:r>
          </w:p>
        </w:tc>
        <w:tc>
          <w:tcPr>
            <w:tcW w:w="1134"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vAlign w:val="center"/>
          </w:tcPr>
          <w:p>
            <w:pPr>
              <w:widowControl/>
              <w:snapToGrid w:val="0"/>
              <w:jc w:val="center"/>
              <w:rPr>
                <w:rFonts w:ascii="Arial Narrow" w:hAnsi="Arial Narrow" w:cs="宋体"/>
                <w:color w:val="000000" w:themeColor="text1"/>
                <w:kern w:val="0"/>
                <w:sz w:val="18"/>
                <w:szCs w:val="18"/>
              </w:rPr>
            </w:pPr>
          </w:p>
        </w:tc>
        <w:tc>
          <w:tcPr>
            <w:tcW w:w="1086" w:type="dxa"/>
            <w:vAlign w:val="center"/>
          </w:tcPr>
          <w:p>
            <w:pPr>
              <w:widowControl/>
              <w:snapToGrid w:val="0"/>
              <w:jc w:val="center"/>
              <w:rPr>
                <w:rFonts w:ascii="Arial Narrow" w:hAnsi="Arial Narrow" w:cs="宋体"/>
                <w:color w:val="000000" w:themeColor="text1"/>
                <w:kern w:val="0"/>
                <w:sz w:val="18"/>
                <w:szCs w:val="18"/>
              </w:rPr>
            </w:pPr>
          </w:p>
        </w:tc>
        <w:tc>
          <w:tcPr>
            <w:tcW w:w="966"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吕文彬</w:t>
            </w:r>
          </w:p>
        </w:tc>
        <w:tc>
          <w:tcPr>
            <w:tcW w:w="1134"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vAlign w:val="center"/>
          </w:tcPr>
          <w:p>
            <w:pPr>
              <w:widowControl/>
              <w:snapToGrid w:val="0"/>
              <w:jc w:val="center"/>
              <w:rPr>
                <w:rFonts w:ascii="Arial Narrow" w:hAnsi="Arial Narrow" w:cs="宋体"/>
                <w:color w:val="000000" w:themeColor="text1"/>
                <w:kern w:val="0"/>
                <w:sz w:val="18"/>
                <w:szCs w:val="18"/>
              </w:rPr>
            </w:pPr>
          </w:p>
        </w:tc>
        <w:tc>
          <w:tcPr>
            <w:tcW w:w="1086" w:type="dxa"/>
            <w:vAlign w:val="center"/>
          </w:tcPr>
          <w:p>
            <w:pPr>
              <w:widowControl/>
              <w:snapToGrid w:val="0"/>
              <w:jc w:val="center"/>
              <w:rPr>
                <w:rFonts w:ascii="Arial Narrow" w:hAnsi="Arial Narrow" w:cs="宋体"/>
                <w:color w:val="000000" w:themeColor="text1"/>
                <w:kern w:val="0"/>
                <w:sz w:val="18"/>
                <w:szCs w:val="18"/>
              </w:rPr>
            </w:pPr>
          </w:p>
        </w:tc>
        <w:tc>
          <w:tcPr>
            <w:tcW w:w="966"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陈丽萍</w:t>
            </w:r>
          </w:p>
        </w:tc>
        <w:tc>
          <w:tcPr>
            <w:tcW w:w="1134"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vAlign w:val="center"/>
          </w:tcPr>
          <w:p>
            <w:pPr>
              <w:widowControl/>
              <w:snapToGrid w:val="0"/>
              <w:jc w:val="center"/>
              <w:rPr>
                <w:rFonts w:ascii="Arial Narrow" w:hAnsi="Arial Narrow" w:cs="宋体"/>
                <w:color w:val="000000" w:themeColor="text1"/>
                <w:kern w:val="0"/>
                <w:sz w:val="18"/>
                <w:szCs w:val="18"/>
              </w:rPr>
            </w:pPr>
          </w:p>
        </w:tc>
        <w:tc>
          <w:tcPr>
            <w:tcW w:w="1086" w:type="dxa"/>
            <w:vAlign w:val="center"/>
          </w:tcPr>
          <w:p>
            <w:pPr>
              <w:widowControl/>
              <w:snapToGrid w:val="0"/>
              <w:jc w:val="center"/>
              <w:rPr>
                <w:rFonts w:ascii="Arial Narrow" w:hAnsi="Arial Narrow" w:cs="宋体"/>
                <w:color w:val="000000" w:themeColor="text1"/>
                <w:kern w:val="0"/>
                <w:sz w:val="18"/>
                <w:szCs w:val="18"/>
              </w:rPr>
            </w:pPr>
          </w:p>
        </w:tc>
        <w:tc>
          <w:tcPr>
            <w:tcW w:w="966"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郭伟明</w:t>
            </w:r>
          </w:p>
        </w:tc>
        <w:tc>
          <w:tcPr>
            <w:tcW w:w="1134"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615" w:type="dxa"/>
            <w:vAlign w:val="center"/>
          </w:tcPr>
          <w:p>
            <w:pPr>
              <w:widowControl/>
              <w:snapToGrid w:val="0"/>
              <w:jc w:val="center"/>
              <w:rPr>
                <w:rFonts w:ascii="Arial Narrow" w:hAnsi="Arial Narrow" w:cs="宋体"/>
                <w:color w:val="000000" w:themeColor="text1"/>
                <w:kern w:val="0"/>
                <w:sz w:val="18"/>
                <w:szCs w:val="18"/>
              </w:rPr>
            </w:pPr>
          </w:p>
        </w:tc>
        <w:tc>
          <w:tcPr>
            <w:tcW w:w="1086" w:type="dxa"/>
            <w:vAlign w:val="center"/>
          </w:tcPr>
          <w:p>
            <w:pPr>
              <w:widowControl/>
              <w:snapToGrid w:val="0"/>
              <w:jc w:val="center"/>
              <w:rPr>
                <w:rFonts w:ascii="Arial Narrow" w:hAnsi="Arial Narrow" w:cs="宋体"/>
                <w:color w:val="000000" w:themeColor="text1"/>
                <w:kern w:val="0"/>
                <w:sz w:val="18"/>
                <w:szCs w:val="18"/>
              </w:rPr>
            </w:pPr>
          </w:p>
        </w:tc>
        <w:tc>
          <w:tcPr>
            <w:tcW w:w="966"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300</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2.20%</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正常</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97" w:hRule="atLeast"/>
        </w:trPr>
        <w:tc>
          <w:tcPr>
            <w:tcW w:w="3211" w:type="dxa"/>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合计</w:t>
            </w:r>
          </w:p>
        </w:tc>
        <w:tc>
          <w:tcPr>
            <w:tcW w:w="1134"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 xml:space="preserve">3150.00 </w:t>
            </w:r>
          </w:p>
        </w:tc>
        <w:tc>
          <w:tcPr>
            <w:tcW w:w="615" w:type="dxa"/>
            <w:vAlign w:val="center"/>
          </w:tcPr>
          <w:p>
            <w:pPr>
              <w:widowControl/>
              <w:snapToGrid w:val="0"/>
              <w:jc w:val="center"/>
              <w:rPr>
                <w:rFonts w:ascii="Arial Narrow" w:hAnsi="Arial Narrow" w:cs="宋体"/>
                <w:color w:val="000000" w:themeColor="text1"/>
                <w:kern w:val="0"/>
                <w:sz w:val="18"/>
                <w:szCs w:val="18"/>
              </w:rPr>
            </w:pPr>
          </w:p>
        </w:tc>
        <w:tc>
          <w:tcPr>
            <w:tcW w:w="1086" w:type="dxa"/>
            <w:vAlign w:val="center"/>
          </w:tcPr>
          <w:p>
            <w:pPr>
              <w:widowControl/>
              <w:snapToGrid w:val="0"/>
              <w:jc w:val="center"/>
              <w:rPr>
                <w:rFonts w:ascii="Arial Narrow" w:hAnsi="Arial Narrow" w:cs="宋体"/>
                <w:color w:val="000000" w:themeColor="text1"/>
                <w:kern w:val="0"/>
                <w:sz w:val="18"/>
                <w:szCs w:val="18"/>
              </w:rPr>
            </w:pPr>
          </w:p>
        </w:tc>
        <w:tc>
          <w:tcPr>
            <w:tcW w:w="966"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 xml:space="preserve">3150.00 </w:t>
            </w:r>
          </w:p>
        </w:tc>
        <w:tc>
          <w:tcPr>
            <w:tcW w:w="909" w:type="dxa"/>
            <w:vAlign w:val="center"/>
          </w:tcPr>
          <w:p>
            <w:pPr>
              <w:widowControl/>
              <w:snapToGrid w:val="0"/>
              <w:jc w:val="center"/>
              <w:rPr>
                <w:rFonts w:ascii="Arial Narrow" w:hAnsi="Arial Narrow" w:cs="宋体"/>
                <w:color w:val="000000" w:themeColor="text1"/>
                <w:kern w:val="0"/>
                <w:sz w:val="18"/>
                <w:szCs w:val="18"/>
              </w:rPr>
            </w:pPr>
            <w:r>
              <w:rPr>
                <w:rFonts w:hint="eastAsia" w:ascii="Arial Narrow" w:hAnsi="Arial Narrow" w:cs="宋体"/>
                <w:color w:val="000000" w:themeColor="text1"/>
                <w:kern w:val="0"/>
                <w:sz w:val="18"/>
                <w:szCs w:val="18"/>
              </w:rPr>
              <w:t>23.06%</w:t>
            </w:r>
          </w:p>
        </w:tc>
        <w:tc>
          <w:tcPr>
            <w:tcW w:w="1292" w:type="dxa"/>
            <w:vAlign w:val="center"/>
          </w:tcPr>
          <w:p>
            <w:pPr>
              <w:widowControl/>
              <w:snapToGrid w:val="0"/>
              <w:jc w:val="center"/>
              <w:rPr>
                <w:rFonts w:ascii="Arial Narrow" w:hAnsi="Arial Narrow" w:cs="宋体"/>
                <w:color w:val="000000" w:themeColor="text1"/>
                <w:kern w:val="0"/>
                <w:sz w:val="18"/>
                <w:szCs w:val="18"/>
              </w:rPr>
            </w:pPr>
            <w:r>
              <w:rPr>
                <w:rFonts w:ascii="Arial Narrow" w:hAnsi="Arial Narrow" w:cs="宋体"/>
                <w:color w:val="000000" w:themeColor="text1"/>
                <w:kern w:val="0"/>
                <w:sz w:val="18"/>
                <w:szCs w:val="18"/>
              </w:rPr>
              <w:t>　</w:t>
            </w:r>
          </w:p>
        </w:tc>
      </w:tr>
    </w:tbl>
    <w:p>
      <w:pPr>
        <w:pStyle w:val="13"/>
        <w:spacing w:line="360" w:lineRule="auto"/>
        <w:ind w:firstLine="640"/>
        <w:rPr>
          <w:rFonts w:ascii="仿宋_GB2312" w:hAnsi="Arial Narrow" w:eastAsia="仿宋_GB2312"/>
          <w:color w:val="000000" w:themeColor="text1"/>
          <w:sz w:val="32"/>
          <w:szCs w:val="32"/>
        </w:rPr>
      </w:pPr>
      <w:r>
        <w:rPr>
          <w:rFonts w:hint="eastAsia" w:ascii="仿宋_GB2312" w:hAnsi="宋体" w:eastAsia="仿宋_GB2312" w:cs="宋体"/>
          <w:color w:val="000000" w:themeColor="text1"/>
          <w:sz w:val="32"/>
          <w:szCs w:val="32"/>
        </w:rPr>
        <w:t>（2）贷</w:t>
      </w:r>
      <w:r>
        <w:rPr>
          <w:rFonts w:hint="eastAsia" w:ascii="仿宋_GB2312" w:hAnsi="Arial Narrow" w:eastAsia="仿宋_GB2312"/>
          <w:color w:val="000000" w:themeColor="text1"/>
          <w:sz w:val="32"/>
          <w:szCs w:val="32"/>
        </w:rPr>
        <w:t>款和垫款按风险程度的分类</w:t>
      </w:r>
    </w:p>
    <w:tbl>
      <w:tblPr>
        <w:tblStyle w:val="6"/>
        <w:tblW w:w="9089"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978"/>
        <w:gridCol w:w="3214"/>
        <w:gridCol w:w="2897"/>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blHeader/>
        </w:trPr>
        <w:tc>
          <w:tcPr>
            <w:tcW w:w="2978" w:type="dxa"/>
            <w:vMerge w:val="restart"/>
            <w:vAlign w:val="center"/>
          </w:tcPr>
          <w:p>
            <w:pPr>
              <w:jc w:val="center"/>
              <w:outlineLvl w:val="0"/>
              <w:rPr>
                <w:rFonts w:ascii="Arial Narrow" w:hAnsi="Arial Narrow"/>
                <w:color w:val="000000" w:themeColor="text1"/>
                <w:sz w:val="18"/>
                <w:szCs w:val="18"/>
              </w:rPr>
            </w:pPr>
            <w:r>
              <w:rPr>
                <w:rFonts w:ascii="Arial Narrow" w:hAnsi="Arial Narrow"/>
                <w:color w:val="000000" w:themeColor="text1"/>
                <w:sz w:val="18"/>
                <w:szCs w:val="18"/>
              </w:rPr>
              <w:t>项目</w:t>
            </w:r>
          </w:p>
        </w:tc>
        <w:tc>
          <w:tcPr>
            <w:tcW w:w="3214" w:type="dxa"/>
            <w:vMerge w:val="restart"/>
            <w:vAlign w:val="center"/>
          </w:tcPr>
          <w:p>
            <w:pPr>
              <w:jc w:val="center"/>
              <w:outlineLvl w:val="0"/>
              <w:rPr>
                <w:rFonts w:ascii="Arial Narrow" w:hAnsi="Arial Narrow"/>
                <w:color w:val="000000" w:themeColor="text1"/>
                <w:sz w:val="18"/>
                <w:szCs w:val="18"/>
              </w:rPr>
            </w:pPr>
            <w:r>
              <w:rPr>
                <w:rFonts w:hint="eastAsia" w:ascii="Arial Narrow" w:hAnsi="Arial Narrow"/>
                <w:color w:val="000000" w:themeColor="text1"/>
                <w:sz w:val="18"/>
                <w:szCs w:val="18"/>
              </w:rPr>
              <w:t>上</w:t>
            </w:r>
            <w:r>
              <w:rPr>
                <w:rFonts w:ascii="Arial Narrow" w:hAnsi="Arial Narrow"/>
                <w:color w:val="000000" w:themeColor="text1"/>
                <w:sz w:val="18"/>
                <w:szCs w:val="18"/>
              </w:rPr>
              <w:t>年</w:t>
            </w:r>
            <w:r>
              <w:rPr>
                <w:rFonts w:hint="eastAsia" w:ascii="Arial Narrow" w:hAnsi="Arial Narrow"/>
                <w:color w:val="000000" w:themeColor="text1"/>
                <w:sz w:val="18"/>
                <w:szCs w:val="18"/>
              </w:rPr>
              <w:t>年</w:t>
            </w:r>
            <w:r>
              <w:rPr>
                <w:rFonts w:ascii="Arial Narrow" w:hAnsi="Arial Narrow"/>
                <w:color w:val="000000" w:themeColor="text1"/>
                <w:sz w:val="18"/>
                <w:szCs w:val="18"/>
              </w:rPr>
              <w:t>末</w:t>
            </w:r>
          </w:p>
          <w:p>
            <w:pPr>
              <w:jc w:val="center"/>
              <w:outlineLvl w:val="0"/>
              <w:rPr>
                <w:rFonts w:ascii="Arial Narrow" w:hAnsi="Arial Narrow"/>
                <w:color w:val="000000" w:themeColor="text1"/>
                <w:sz w:val="18"/>
                <w:szCs w:val="18"/>
              </w:rPr>
            </w:pPr>
            <w:r>
              <w:rPr>
                <w:rFonts w:ascii="Arial Narrow" w:hAnsi="Arial Narrow"/>
                <w:color w:val="000000" w:themeColor="text1"/>
                <w:sz w:val="18"/>
                <w:szCs w:val="18"/>
              </w:rPr>
              <w:t>贷款余额</w:t>
            </w:r>
          </w:p>
        </w:tc>
        <w:tc>
          <w:tcPr>
            <w:tcW w:w="2897" w:type="dxa"/>
            <w:vMerge w:val="restart"/>
            <w:vAlign w:val="center"/>
          </w:tcPr>
          <w:p>
            <w:pPr>
              <w:jc w:val="center"/>
              <w:outlineLvl w:val="0"/>
              <w:rPr>
                <w:rFonts w:ascii="Arial Narrow" w:hAnsi="Arial Narrow"/>
                <w:color w:val="000000" w:themeColor="text1"/>
                <w:sz w:val="18"/>
                <w:szCs w:val="18"/>
              </w:rPr>
            </w:pPr>
            <w:r>
              <w:rPr>
                <w:rFonts w:hint="eastAsia" w:ascii="Arial Narrow" w:hAnsi="Arial Narrow"/>
                <w:color w:val="000000" w:themeColor="text1"/>
                <w:sz w:val="18"/>
                <w:szCs w:val="18"/>
              </w:rPr>
              <w:t>本年年末</w:t>
            </w:r>
          </w:p>
          <w:p>
            <w:pPr>
              <w:jc w:val="center"/>
              <w:outlineLvl w:val="0"/>
              <w:rPr>
                <w:rFonts w:ascii="Arial Narrow" w:hAnsi="Arial Narrow"/>
                <w:color w:val="000000" w:themeColor="text1"/>
                <w:sz w:val="18"/>
                <w:szCs w:val="18"/>
              </w:rPr>
            </w:pPr>
            <w:r>
              <w:rPr>
                <w:rFonts w:ascii="Arial Narrow" w:hAnsi="Arial Narrow"/>
                <w:color w:val="000000" w:themeColor="text1"/>
                <w:sz w:val="18"/>
                <w:szCs w:val="18"/>
              </w:rPr>
              <w:t>贷款余额</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12" w:hRule="atLeast"/>
          <w:tblHeader/>
        </w:trPr>
        <w:tc>
          <w:tcPr>
            <w:tcW w:w="2978" w:type="dxa"/>
            <w:vMerge w:val="continue"/>
            <w:vAlign w:val="center"/>
          </w:tcPr>
          <w:p>
            <w:pPr>
              <w:jc w:val="center"/>
              <w:outlineLvl w:val="0"/>
              <w:rPr>
                <w:rFonts w:ascii="Arial Narrow" w:hAnsi="Arial Narrow"/>
                <w:color w:val="000000" w:themeColor="text1"/>
                <w:sz w:val="18"/>
                <w:szCs w:val="18"/>
              </w:rPr>
            </w:pPr>
          </w:p>
        </w:tc>
        <w:tc>
          <w:tcPr>
            <w:tcW w:w="3214" w:type="dxa"/>
            <w:vMerge w:val="continue"/>
            <w:vAlign w:val="center"/>
          </w:tcPr>
          <w:p>
            <w:pPr>
              <w:jc w:val="center"/>
              <w:outlineLvl w:val="0"/>
              <w:rPr>
                <w:rFonts w:ascii="Arial Narrow" w:hAnsi="Arial Narrow"/>
                <w:color w:val="000000" w:themeColor="text1"/>
                <w:sz w:val="18"/>
                <w:szCs w:val="18"/>
              </w:rPr>
            </w:pPr>
          </w:p>
        </w:tc>
        <w:tc>
          <w:tcPr>
            <w:tcW w:w="2897" w:type="dxa"/>
            <w:vMerge w:val="continue"/>
            <w:vAlign w:val="center"/>
          </w:tcPr>
          <w:p>
            <w:pPr>
              <w:jc w:val="center"/>
              <w:outlineLvl w:val="0"/>
              <w:rPr>
                <w:rFonts w:ascii="Arial Narrow" w:hAnsi="Arial Narrow"/>
                <w:color w:val="000000" w:themeColor="text1"/>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978" w:type="dxa"/>
            <w:vAlign w:val="center"/>
          </w:tcPr>
          <w:p>
            <w:pPr>
              <w:jc w:val="left"/>
              <w:rPr>
                <w:rFonts w:ascii="Arial Narrow" w:hAnsi="Arial Narrow"/>
                <w:color w:val="000000" w:themeColor="text1"/>
                <w:sz w:val="18"/>
                <w:szCs w:val="18"/>
              </w:rPr>
            </w:pPr>
            <w:r>
              <w:rPr>
                <w:rFonts w:ascii="Arial Narrow" w:hAnsi="Arial Narrow"/>
                <w:color w:val="000000" w:themeColor="text1"/>
                <w:sz w:val="18"/>
                <w:szCs w:val="18"/>
              </w:rPr>
              <w:t>正常贷款</w:t>
            </w:r>
          </w:p>
        </w:tc>
        <w:tc>
          <w:tcPr>
            <w:tcW w:w="3214"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87348.57</w:t>
            </w:r>
          </w:p>
        </w:tc>
        <w:tc>
          <w:tcPr>
            <w:tcW w:w="2897"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86830.76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978" w:type="dxa"/>
            <w:vAlign w:val="center"/>
          </w:tcPr>
          <w:p>
            <w:pPr>
              <w:jc w:val="left"/>
              <w:rPr>
                <w:rFonts w:ascii="Arial Narrow" w:hAnsi="Arial Narrow"/>
                <w:color w:val="000000" w:themeColor="text1"/>
                <w:sz w:val="18"/>
                <w:szCs w:val="18"/>
              </w:rPr>
            </w:pPr>
            <w:r>
              <w:rPr>
                <w:rFonts w:ascii="Arial Narrow" w:hAnsi="Arial Narrow"/>
                <w:color w:val="000000" w:themeColor="text1"/>
                <w:sz w:val="18"/>
                <w:szCs w:val="18"/>
              </w:rPr>
              <w:t>关注贷款</w:t>
            </w:r>
          </w:p>
        </w:tc>
        <w:tc>
          <w:tcPr>
            <w:tcW w:w="3214"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683.24</w:t>
            </w:r>
          </w:p>
        </w:tc>
        <w:tc>
          <w:tcPr>
            <w:tcW w:w="2897"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230.18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978" w:type="dxa"/>
            <w:vAlign w:val="center"/>
          </w:tcPr>
          <w:p>
            <w:pPr>
              <w:jc w:val="left"/>
              <w:rPr>
                <w:rFonts w:ascii="Arial Narrow" w:hAnsi="Arial Narrow"/>
                <w:color w:val="000000" w:themeColor="text1"/>
                <w:sz w:val="18"/>
                <w:szCs w:val="18"/>
              </w:rPr>
            </w:pPr>
            <w:r>
              <w:rPr>
                <w:rFonts w:ascii="Arial Narrow" w:hAnsi="Arial Narrow"/>
                <w:color w:val="000000" w:themeColor="text1"/>
                <w:sz w:val="18"/>
                <w:szCs w:val="18"/>
              </w:rPr>
              <w:t>次级贷款</w:t>
            </w:r>
          </w:p>
        </w:tc>
        <w:tc>
          <w:tcPr>
            <w:tcW w:w="3214"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1081.10</w:t>
            </w:r>
          </w:p>
        </w:tc>
        <w:tc>
          <w:tcPr>
            <w:tcW w:w="2897"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717.92</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978" w:type="dxa"/>
            <w:vAlign w:val="center"/>
          </w:tcPr>
          <w:p>
            <w:pPr>
              <w:jc w:val="left"/>
              <w:rPr>
                <w:rFonts w:ascii="Arial Narrow" w:hAnsi="Arial Narrow"/>
                <w:color w:val="000000" w:themeColor="text1"/>
                <w:sz w:val="18"/>
                <w:szCs w:val="18"/>
              </w:rPr>
            </w:pPr>
            <w:r>
              <w:rPr>
                <w:rFonts w:ascii="Arial Narrow" w:hAnsi="Arial Narrow"/>
                <w:color w:val="000000" w:themeColor="text1"/>
                <w:sz w:val="18"/>
                <w:szCs w:val="18"/>
              </w:rPr>
              <w:t>可疑贷款</w:t>
            </w:r>
          </w:p>
        </w:tc>
        <w:tc>
          <w:tcPr>
            <w:tcW w:w="3214"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650.17</w:t>
            </w:r>
          </w:p>
        </w:tc>
        <w:tc>
          <w:tcPr>
            <w:tcW w:w="2897"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519.56</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978" w:type="dxa"/>
            <w:vAlign w:val="center"/>
          </w:tcPr>
          <w:p>
            <w:pPr>
              <w:jc w:val="left"/>
              <w:rPr>
                <w:rFonts w:ascii="Arial Narrow" w:hAnsi="Arial Narrow"/>
                <w:color w:val="000000" w:themeColor="text1"/>
                <w:sz w:val="18"/>
                <w:szCs w:val="18"/>
              </w:rPr>
            </w:pPr>
            <w:r>
              <w:rPr>
                <w:rFonts w:ascii="Arial Narrow" w:hAnsi="Arial Narrow"/>
                <w:color w:val="000000" w:themeColor="text1"/>
                <w:sz w:val="18"/>
                <w:szCs w:val="18"/>
              </w:rPr>
              <w:t>损失贷款</w:t>
            </w:r>
          </w:p>
        </w:tc>
        <w:tc>
          <w:tcPr>
            <w:tcW w:w="3214" w:type="dxa"/>
            <w:vAlign w:val="center"/>
          </w:tcPr>
          <w:p>
            <w:pPr>
              <w:jc w:val="right"/>
              <w:rPr>
                <w:rFonts w:ascii="宋体" w:hAnsi="宋体"/>
                <w:color w:val="000000" w:themeColor="text1"/>
                <w:sz w:val="18"/>
                <w:szCs w:val="18"/>
              </w:rPr>
            </w:pPr>
          </w:p>
        </w:tc>
        <w:tc>
          <w:tcPr>
            <w:tcW w:w="2897" w:type="dxa"/>
            <w:vAlign w:val="center"/>
          </w:tcPr>
          <w:p>
            <w:pPr>
              <w:jc w:val="right"/>
              <w:rPr>
                <w:rFonts w:ascii="宋体" w:hAnsi="宋体"/>
                <w:color w:val="000000" w:themeColor="text1"/>
                <w:sz w:val="18"/>
                <w:szCs w:val="18"/>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340" w:hRule="atLeast"/>
        </w:trPr>
        <w:tc>
          <w:tcPr>
            <w:tcW w:w="2978" w:type="dxa"/>
            <w:vAlign w:val="center"/>
          </w:tcPr>
          <w:p>
            <w:pPr>
              <w:jc w:val="center"/>
              <w:rPr>
                <w:rFonts w:ascii="Arial Narrow" w:hAnsi="Arial Narrow"/>
                <w:color w:val="000000" w:themeColor="text1"/>
                <w:sz w:val="18"/>
                <w:szCs w:val="18"/>
              </w:rPr>
            </w:pPr>
            <w:r>
              <w:rPr>
                <w:rFonts w:ascii="Arial Narrow" w:hAnsi="Arial Narrow"/>
                <w:color w:val="000000" w:themeColor="text1"/>
                <w:sz w:val="18"/>
                <w:szCs w:val="18"/>
              </w:rPr>
              <w:t>合计</w:t>
            </w:r>
          </w:p>
        </w:tc>
        <w:tc>
          <w:tcPr>
            <w:tcW w:w="3214"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89763.08</w:t>
            </w:r>
          </w:p>
        </w:tc>
        <w:tc>
          <w:tcPr>
            <w:tcW w:w="2897" w:type="dxa"/>
            <w:vAlign w:val="center"/>
          </w:tcPr>
          <w:p>
            <w:pPr>
              <w:jc w:val="right"/>
              <w:outlineLvl w:val="0"/>
              <w:rPr>
                <w:rFonts w:ascii="宋体" w:hAnsi="宋体"/>
                <w:color w:val="000000" w:themeColor="text1"/>
                <w:sz w:val="18"/>
                <w:szCs w:val="18"/>
              </w:rPr>
            </w:pPr>
            <w:r>
              <w:rPr>
                <w:rFonts w:hint="eastAsia" w:ascii="宋体" w:hAnsi="宋体"/>
                <w:color w:val="000000" w:themeColor="text1"/>
                <w:sz w:val="18"/>
                <w:szCs w:val="18"/>
              </w:rPr>
              <w:t>88298.42</w:t>
            </w:r>
          </w:p>
        </w:tc>
      </w:tr>
    </w:tbl>
    <w:p>
      <w:pPr>
        <w:pStyle w:val="3"/>
        <w:snapToGrid w:val="0"/>
        <w:spacing w:before="0" w:beforeAutospacing="0" w:after="0" w:afterAutospacing="0" w:line="336" w:lineRule="auto"/>
        <w:ind w:firstLine="640" w:firstLineChars="200"/>
        <w:rPr>
          <w:rFonts w:ascii="仿宋_GB2312" w:eastAsia="仿宋_GB2312"/>
          <w:color w:val="000000" w:themeColor="text1"/>
          <w:sz w:val="32"/>
          <w:szCs w:val="32"/>
        </w:rPr>
      </w:pPr>
      <w:r>
        <w:rPr>
          <w:rFonts w:hint="eastAsia" w:ascii="仿宋_GB2312" w:hAnsi="Arial Narrow" w:eastAsia="仿宋_GB2312"/>
          <w:color w:val="000000" w:themeColor="text1"/>
          <w:sz w:val="32"/>
          <w:szCs w:val="32"/>
        </w:rPr>
        <w:t>不</w:t>
      </w:r>
      <w:r>
        <w:rPr>
          <w:rFonts w:hint="eastAsia" w:ascii="仿宋_GB2312" w:eastAsia="仿宋_GB2312"/>
          <w:color w:val="000000" w:themeColor="text1"/>
          <w:sz w:val="32"/>
          <w:szCs w:val="32"/>
        </w:rPr>
        <w:t>良贷款合计1237.48万元，占贷款总额的1.40%，占本行净资产的1.19%。</w:t>
      </w:r>
    </w:p>
    <w:p>
      <w:pPr>
        <w:pStyle w:val="13"/>
        <w:snapToGrid w:val="0"/>
        <w:spacing w:line="336" w:lineRule="auto"/>
        <w:ind w:left="426" w:firstLine="0" w:firstLineChars="0"/>
        <w:rPr>
          <w:rFonts w:ascii="仿宋_GB2312" w:hAnsi="Arial Narrow" w:eastAsia="仿宋_GB2312"/>
          <w:color w:val="000000" w:themeColor="text1"/>
          <w:sz w:val="32"/>
          <w:szCs w:val="32"/>
        </w:rPr>
      </w:pPr>
      <w:r>
        <w:rPr>
          <w:rFonts w:hint="eastAsia" w:ascii="仿宋_GB2312" w:hAnsi="宋体" w:eastAsia="仿宋_GB2312" w:cs="宋体"/>
          <w:color w:val="000000" w:themeColor="text1"/>
          <w:sz w:val="32"/>
          <w:szCs w:val="32"/>
        </w:rPr>
        <w:t>（3）逾期</w:t>
      </w:r>
      <w:r>
        <w:rPr>
          <w:rFonts w:hint="eastAsia" w:ascii="仿宋_GB2312" w:hAnsi="Arial Narrow" w:eastAsia="仿宋_GB2312"/>
          <w:color w:val="000000" w:themeColor="text1"/>
          <w:sz w:val="32"/>
          <w:szCs w:val="32"/>
        </w:rPr>
        <w:t xml:space="preserve">贷款和垫款 </w:t>
      </w:r>
    </w:p>
    <w:p>
      <w:pPr>
        <w:snapToGrid w:val="0"/>
        <w:spacing w:line="336" w:lineRule="auto"/>
        <w:ind w:firstLine="640" w:firstLineChars="200"/>
        <w:rPr>
          <w:rFonts w:ascii="仿宋_GB2312" w:hAnsi="Arial Narrow" w:eastAsia="仿宋_GB2312"/>
          <w:color w:val="000000" w:themeColor="text1"/>
          <w:sz w:val="32"/>
          <w:szCs w:val="32"/>
        </w:rPr>
      </w:pPr>
      <w:r>
        <w:rPr>
          <w:rFonts w:hint="eastAsia" w:ascii="仿宋_GB2312" w:hAnsi="Arial Narrow" w:eastAsia="仿宋_GB2312"/>
          <w:color w:val="000000" w:themeColor="text1"/>
          <w:sz w:val="32"/>
          <w:szCs w:val="32"/>
        </w:rPr>
        <w:t>逾期贷款和垫款按担保方式和逾期天数分布情况详见本财务报表“附注五、（五）发放贷款和垫款”项目注释。</w:t>
      </w:r>
    </w:p>
    <w:p>
      <w:pPr>
        <w:pStyle w:val="3"/>
        <w:spacing w:before="0" w:beforeAutospacing="0" w:after="0" w:afterAutospacing="0" w:line="336" w:lineRule="auto"/>
        <w:ind w:firstLine="643" w:firstLineChars="200"/>
        <w:rPr>
          <w:rFonts w:ascii="仿宋_GB2312" w:eastAsia="仿宋_GB2312"/>
          <w:b/>
          <w:color w:val="000000" w:themeColor="text1"/>
          <w:sz w:val="32"/>
          <w:szCs w:val="32"/>
        </w:rPr>
      </w:pPr>
      <w:r>
        <w:rPr>
          <w:rFonts w:hint="eastAsia" w:ascii="仿宋_GB2312" w:eastAsia="仿宋_GB2312"/>
          <w:b/>
          <w:color w:val="000000" w:themeColor="text1"/>
          <w:sz w:val="32"/>
          <w:szCs w:val="32"/>
        </w:rPr>
        <w:t>4.存放同业款项</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存放同业款项业务的交易对手包括系统内农村合作金融机构、境内银行、境内非银行金融机构。</w:t>
      </w:r>
    </w:p>
    <w:p>
      <w:pPr>
        <w:spacing w:line="336" w:lineRule="auto"/>
        <w:ind w:firstLine="640" w:firstLineChars="200"/>
        <w:rPr>
          <w:rFonts w:ascii="仿宋_GB2312" w:hAnsi="Arial Narrow" w:eastAsia="仿宋_GB2312"/>
          <w:color w:val="000000" w:themeColor="text1"/>
          <w:sz w:val="32"/>
          <w:szCs w:val="32"/>
        </w:rPr>
      </w:pPr>
      <w:r>
        <w:rPr>
          <w:rFonts w:hint="eastAsia" w:ascii="仿宋_GB2312" w:hAnsi="宋体" w:eastAsia="仿宋_GB2312" w:cs="宋体"/>
          <w:color w:val="000000" w:themeColor="text1"/>
          <w:sz w:val="32"/>
          <w:szCs w:val="32"/>
        </w:rPr>
        <w:t>本行收集和分析交易对手信息，根据交易对手性质、规模、信用评级等信息核定授信总量，对其信用风险进行监控。2020年度对存放同业业务进行授信审批，2021年度对部分同业存放的交易对手全部进行了授信审批。</w:t>
      </w:r>
    </w:p>
    <w:p>
      <w:pPr>
        <w:pStyle w:val="3"/>
        <w:spacing w:before="0" w:beforeAutospacing="0" w:after="0" w:afterAutospacing="0" w:line="336" w:lineRule="auto"/>
        <w:ind w:firstLine="643" w:firstLineChars="200"/>
        <w:rPr>
          <w:rFonts w:ascii="仿宋_GB2312" w:hAnsi="Arial Narrow" w:eastAsia="仿宋_GB2312"/>
          <w:b/>
          <w:color w:val="000000" w:themeColor="text1"/>
          <w:sz w:val="32"/>
          <w:szCs w:val="32"/>
        </w:rPr>
      </w:pPr>
      <w:r>
        <w:rPr>
          <w:rFonts w:hint="eastAsia" w:ascii="仿宋_GB2312" w:hAnsi="Arial Narrow" w:eastAsia="仿宋_GB2312"/>
          <w:b/>
          <w:color w:val="000000" w:themeColor="text1"/>
          <w:sz w:val="32"/>
          <w:szCs w:val="32"/>
        </w:rPr>
        <w:t>（三）市场风险</w:t>
      </w:r>
    </w:p>
    <w:p>
      <w:pPr>
        <w:adjustRightInd w:val="0"/>
        <w:spacing w:line="336" w:lineRule="auto"/>
        <w:ind w:firstLine="640" w:firstLineChars="200"/>
        <w:jc w:val="left"/>
        <w:textAlignment w:val="baseline"/>
        <w:rPr>
          <w:rFonts w:ascii="仿宋_GB2312" w:hAnsi="Arial Narrow" w:eastAsia="仿宋_GB2312"/>
          <w:color w:val="000000" w:themeColor="text1"/>
          <w:sz w:val="32"/>
          <w:szCs w:val="32"/>
        </w:rPr>
      </w:pPr>
      <w:r>
        <w:rPr>
          <w:rFonts w:hint="eastAsia" w:ascii="仿宋_GB2312" w:hAnsi="Arial Narrow" w:eastAsia="仿宋_GB2312"/>
          <w:color w:val="000000" w:themeColor="text1"/>
          <w:sz w:val="32"/>
          <w:szCs w:val="32"/>
        </w:rPr>
        <w:t xml:space="preserve">市场风险主要指由于市场价格（如利率）的不利变动使银行表内和表外业务发生损失的市场风险。市场风险存在于银行的交易账户与银行账户中。交易账户包括为交易目的而持有的或为了对冲交易账户其他风险而持有的金融工具或商品头寸。银行账户包括除交易账户外的金融工具（包括本行运用剩余资金购买金融工具所形成的投资账户）。 </w:t>
      </w:r>
    </w:p>
    <w:p>
      <w:pPr>
        <w:adjustRightInd w:val="0"/>
        <w:spacing w:line="336" w:lineRule="auto"/>
        <w:ind w:firstLine="640" w:firstLineChars="200"/>
        <w:jc w:val="left"/>
        <w:textAlignment w:val="baseline"/>
        <w:rPr>
          <w:rFonts w:ascii="仿宋_GB2312" w:hAnsi="Arial Narrow" w:eastAsia="仿宋_GB2312"/>
          <w:color w:val="000000" w:themeColor="text1"/>
          <w:sz w:val="32"/>
          <w:szCs w:val="32"/>
        </w:rPr>
      </w:pPr>
      <w:r>
        <w:rPr>
          <w:rFonts w:hint="eastAsia" w:ascii="仿宋_GB2312" w:hAnsi="Arial Narrow" w:eastAsia="仿宋_GB2312"/>
          <w:color w:val="000000" w:themeColor="text1"/>
          <w:sz w:val="32"/>
          <w:szCs w:val="32"/>
        </w:rPr>
        <w:t>本行制定的《浙江云和联合村镇银行股份有限公司资本管理办法》中规定本行不得持有为交易目的或规避交易账户其他项目的风险而持有的金融工具和商品头寸。</w:t>
      </w:r>
    </w:p>
    <w:p>
      <w:pPr>
        <w:adjustRightInd w:val="0"/>
        <w:spacing w:line="336" w:lineRule="auto"/>
        <w:ind w:firstLine="640" w:firstLineChars="200"/>
        <w:jc w:val="left"/>
        <w:textAlignment w:val="baseline"/>
        <w:rPr>
          <w:rFonts w:ascii="仿宋_GB2312" w:hAnsi="Arial Narrow" w:eastAsia="仿宋_GB2312"/>
          <w:color w:val="000000" w:themeColor="text1"/>
          <w:sz w:val="32"/>
          <w:szCs w:val="32"/>
        </w:rPr>
      </w:pPr>
      <w:r>
        <w:rPr>
          <w:rFonts w:hint="eastAsia" w:ascii="仿宋_GB2312" w:hAnsi="宋体" w:eastAsia="仿宋_GB2312"/>
          <w:color w:val="000000" w:themeColor="text1"/>
          <w:sz w:val="32"/>
          <w:szCs w:val="32"/>
        </w:rPr>
        <w:t>截至2022年12月31日</w:t>
      </w:r>
      <w:r>
        <w:rPr>
          <w:rFonts w:hint="eastAsia" w:ascii="仿宋_GB2312" w:hAnsi="Arial Narrow" w:eastAsia="仿宋_GB2312"/>
          <w:color w:val="000000" w:themeColor="text1"/>
          <w:sz w:val="32"/>
          <w:szCs w:val="32"/>
        </w:rPr>
        <w:t>本行尚未持有因交易目的而持有的或为了对冲交易账户其他风险而持有的金融工具或商品头寸，也未持有除交易账户外的金融工具（包括本行运用剩余资金购买金融工具所形成的投资账户）。</w:t>
      </w:r>
    </w:p>
    <w:p>
      <w:pPr>
        <w:pStyle w:val="3"/>
        <w:spacing w:before="0" w:beforeAutospacing="0" w:after="0" w:afterAutospacing="0" w:line="336" w:lineRule="auto"/>
        <w:ind w:firstLine="643" w:firstLineChars="200"/>
        <w:rPr>
          <w:rFonts w:ascii="仿宋_GB2312" w:hAnsi="Arial Narrow" w:eastAsia="仿宋_GB2312"/>
          <w:b/>
          <w:color w:val="000000" w:themeColor="text1"/>
          <w:sz w:val="32"/>
          <w:szCs w:val="32"/>
        </w:rPr>
      </w:pPr>
      <w:r>
        <w:rPr>
          <w:rFonts w:hint="eastAsia" w:ascii="仿宋_GB2312" w:hAnsi="Arial Narrow" w:eastAsia="仿宋_GB2312"/>
          <w:b/>
          <w:color w:val="000000" w:themeColor="text1"/>
          <w:sz w:val="32"/>
          <w:szCs w:val="32"/>
        </w:rPr>
        <w:t xml:space="preserve">（四）流动性风险 </w:t>
      </w:r>
    </w:p>
    <w:p>
      <w:pPr>
        <w:adjustRightInd w:val="0"/>
        <w:spacing w:line="336" w:lineRule="auto"/>
        <w:ind w:firstLine="640" w:firstLineChars="200"/>
        <w:jc w:val="left"/>
        <w:textAlignment w:val="baseline"/>
        <w:rPr>
          <w:rFonts w:ascii="仿宋_GB2312" w:hAnsi="Arial Narrow" w:eastAsia="仿宋_GB2312"/>
          <w:color w:val="000000" w:themeColor="text1"/>
          <w:sz w:val="32"/>
          <w:szCs w:val="32"/>
        </w:rPr>
      </w:pPr>
      <w:r>
        <w:rPr>
          <w:rFonts w:hint="eastAsia" w:ascii="仿宋_GB2312" w:hAnsi="Arial Narrow" w:eastAsia="仿宋_GB2312"/>
          <w:color w:val="000000" w:themeColor="text1"/>
          <w:sz w:val="32"/>
          <w:szCs w:val="32"/>
        </w:rPr>
        <w:t xml:space="preserve">流动性风险是指本行不能在一定的时间内以合理的成本取得资金以偿还债务或者满足资产增长需求的风险。本行流动性风险管理的目标是：根据本行业务发展战略，将流动性保持在合理水平，保证到期负债的偿还和业务发展的需要，并且具备充足的可变现资产和足够的融资能力以应对紧急情况。 </w:t>
      </w:r>
    </w:p>
    <w:p>
      <w:pPr>
        <w:adjustRightInd w:val="0"/>
        <w:spacing w:line="336" w:lineRule="auto"/>
        <w:ind w:firstLine="640" w:firstLineChars="200"/>
        <w:jc w:val="left"/>
        <w:textAlignment w:val="baseline"/>
        <w:rPr>
          <w:rFonts w:ascii="仿宋_GB2312" w:hAnsi="Arial Narrow" w:eastAsia="仿宋_GB2312"/>
          <w:color w:val="000000" w:themeColor="text1"/>
          <w:sz w:val="32"/>
          <w:szCs w:val="32"/>
        </w:rPr>
      </w:pPr>
      <w:r>
        <w:rPr>
          <w:rFonts w:hint="eastAsia" w:ascii="仿宋_GB2312" w:hAnsi="Arial Narrow" w:eastAsia="仿宋_GB2312"/>
          <w:color w:val="000000" w:themeColor="text1"/>
          <w:sz w:val="32"/>
          <w:szCs w:val="32"/>
        </w:rPr>
        <w:t>本行制定政策采用对流动性风险集中管理的模式，不断推进集中资金池建设。</w:t>
      </w:r>
    </w:p>
    <w:p>
      <w:pPr>
        <w:adjustRightInd w:val="0"/>
        <w:spacing w:line="336" w:lineRule="auto"/>
        <w:ind w:firstLine="640" w:firstLineChars="200"/>
        <w:jc w:val="left"/>
        <w:textAlignment w:val="baseline"/>
        <w:rPr>
          <w:rFonts w:ascii="仿宋_GB2312" w:hAnsi="宋体" w:eastAsia="仿宋_GB2312" w:cs="宋体"/>
          <w:color w:val="000000" w:themeColor="text1"/>
          <w:sz w:val="32"/>
          <w:szCs w:val="32"/>
        </w:rPr>
      </w:pPr>
      <w:r>
        <w:rPr>
          <w:rFonts w:hint="eastAsia" w:ascii="仿宋_GB2312" w:hAnsi="Arial Narrow" w:eastAsia="仿宋_GB2312"/>
          <w:color w:val="000000" w:themeColor="text1"/>
          <w:sz w:val="32"/>
          <w:szCs w:val="32"/>
        </w:rPr>
        <w:t>本行每季度对流动性风险进行压力测试，并报送至丽水银监分局</w:t>
      </w:r>
      <w:r>
        <w:rPr>
          <w:rFonts w:hint="eastAsia" w:ascii="仿宋_GB2312" w:hAnsi="宋体" w:eastAsia="仿宋_GB2312" w:cs="宋体"/>
          <w:color w:val="000000" w:themeColor="text1"/>
          <w:sz w:val="32"/>
          <w:szCs w:val="32"/>
        </w:rPr>
        <w:t>。</w:t>
      </w:r>
    </w:p>
    <w:p>
      <w:pPr>
        <w:pStyle w:val="3"/>
        <w:spacing w:before="0" w:beforeAutospacing="0" w:after="0" w:afterAutospacing="0" w:line="336" w:lineRule="auto"/>
        <w:ind w:left="435"/>
        <w:rPr>
          <w:rFonts w:ascii="仿宋_GB2312" w:eastAsia="仿宋_GB2312"/>
          <w:b/>
          <w:color w:val="000000" w:themeColor="text1"/>
          <w:sz w:val="32"/>
          <w:szCs w:val="32"/>
        </w:rPr>
      </w:pPr>
      <w:r>
        <w:rPr>
          <w:rFonts w:hint="eastAsia" w:ascii="仿宋_GB2312" w:eastAsia="仿宋_GB2312"/>
          <w:b/>
          <w:color w:val="000000" w:themeColor="text1"/>
          <w:sz w:val="32"/>
          <w:szCs w:val="32"/>
        </w:rPr>
        <w:t>（五）资本管理</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本行自成立日起，执行《商业银行资本管理办法（试行）》（中国银监会令2012年第1号）。</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1．本行资本管理遵循如下原则：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（1）保持较高的资本质量和充足的资本水平，支持发展战略规划实施，满足监管要求。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（2）充分识别、计量、监测、缓释和控制各类主要风险，确保资本水平与面临的风险及风险管理水平相适应。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（3）优化资产结构，合理配置经济资本，保证银行可持续健康发展。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2．本行管理层按照银监会的监管规定，监控资本的充足性和监管资本的运用情况。本行每季度向</w:t>
      </w:r>
      <w:r>
        <w:rPr>
          <w:rFonts w:hint="eastAsia" w:ascii="仿宋_GB2312" w:hAnsi="Arial Narrow" w:eastAsia="仿宋_GB2312"/>
          <w:color w:val="000000" w:themeColor="text1"/>
          <w:sz w:val="32"/>
          <w:szCs w:val="32"/>
        </w:rPr>
        <w:t>丽水银监分局</w:t>
      </w:r>
      <w:r>
        <w:rPr>
          <w:rFonts w:hint="eastAsia" w:ascii="仿宋_GB2312" w:hAnsi="宋体" w:eastAsia="仿宋_GB2312" w:cs="宋体"/>
          <w:color w:val="000000" w:themeColor="text1"/>
          <w:sz w:val="32"/>
          <w:szCs w:val="32"/>
        </w:rPr>
        <w:t>上报所要求的资本信息。</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3．维持资本充足率8.00%以上，核心一级资本充足率不低于5.00%，一级资本充足率不低于5.00%。</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4．本行运营管理部负责对下列资本项目进行管理：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（1）核心一级资本，包括普通股、资本公积、盈余公积、一般风险准备、未分配利润。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（2）其它一级资本，包括其它一级资本工具及其溢价。</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（3）二级资本，主要包括超额贷款损失准备。 </w:t>
      </w:r>
    </w:p>
    <w:p>
      <w:pPr>
        <w:spacing w:line="336" w:lineRule="auto"/>
        <w:ind w:firstLine="640" w:firstLineChars="200"/>
        <w:rPr>
          <w:rFonts w:ascii="仿宋_GB2312" w:hAnsi="宋体" w:eastAsia="仿宋_GB2312" w:cs="宋体"/>
          <w:color w:val="000000" w:themeColor="text1"/>
          <w:sz w:val="32"/>
          <w:szCs w:val="32"/>
        </w:rPr>
      </w:pPr>
      <w:r>
        <w:rPr>
          <w:rFonts w:hint="eastAsia" w:ascii="仿宋_GB2312" w:hAnsi="宋体" w:eastAsia="仿宋_GB2312" w:cs="宋体"/>
          <w:color w:val="000000" w:themeColor="text1"/>
          <w:sz w:val="32"/>
          <w:szCs w:val="32"/>
        </w:rPr>
        <w:t xml:space="preserve">（4）信用风险加权资产采用权重法进行计量，风险权重在考虑资产和交易对手的信用状况及抵质押担保后确定。市场风险资本调整采用标准法进行计量。操作风险加权资产采用基本指标法计量。 </w:t>
      </w:r>
    </w:p>
    <w:p>
      <w:pPr>
        <w:autoSpaceDE w:val="0"/>
        <w:autoSpaceDN w:val="0"/>
        <w:adjustRightInd w:val="0"/>
        <w:spacing w:line="336" w:lineRule="auto"/>
        <w:ind w:firstLine="640" w:firstLineChars="200"/>
        <w:rPr>
          <w:rFonts w:ascii="仿宋_GB2312" w:hAnsi="宋体" w:eastAsia="仿宋_GB2312" w:cs="黑体"/>
          <w:color w:val="000000" w:themeColor="text1"/>
          <w:kern w:val="0"/>
          <w:sz w:val="32"/>
          <w:szCs w:val="32"/>
        </w:rPr>
      </w:pPr>
      <w:r>
        <w:rPr>
          <w:rFonts w:hint="eastAsia" w:ascii="仿宋_GB2312" w:hAnsi="宋体" w:eastAsia="仿宋_GB2312" w:cs="黑体"/>
          <w:color w:val="000000" w:themeColor="text1"/>
          <w:kern w:val="0"/>
          <w:sz w:val="32"/>
          <w:szCs w:val="32"/>
        </w:rPr>
        <w:t>本行于2022年12月31日，根据银监会《商业银行资本管理办法(试行)》计算的监管资本状况如下：</w:t>
      </w:r>
    </w:p>
    <w:tbl>
      <w:tblPr>
        <w:tblStyle w:val="6"/>
        <w:tblW w:w="8528" w:type="dxa"/>
        <w:tblInd w:w="0" w:type="dxa"/>
        <w:tblBorders>
          <w:top w:val="single" w:color="auto" w:sz="4" w:space="0"/>
          <w:left w:val="none" w:color="auto" w:sz="0" w:space="0"/>
          <w:bottom w:val="sing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842"/>
        <w:gridCol w:w="2843"/>
        <w:gridCol w:w="2843"/>
      </w:tblGrid>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center"/>
              <w:rPr>
                <w:rFonts w:ascii="宋体" w:hAnsi="宋体" w:cs="宋体"/>
                <w:color w:val="000000" w:themeColor="text1"/>
                <w:kern w:val="0"/>
                <w:szCs w:val="21"/>
              </w:rPr>
            </w:pPr>
            <w:r>
              <w:rPr>
                <w:rFonts w:hint="eastAsia" w:ascii="宋体" w:hAnsi="宋体" w:cs="宋体"/>
                <w:color w:val="000000" w:themeColor="text1"/>
                <w:kern w:val="0"/>
                <w:szCs w:val="21"/>
              </w:rPr>
              <w:t>项  目</w:t>
            </w:r>
          </w:p>
        </w:tc>
        <w:tc>
          <w:tcPr>
            <w:tcW w:w="2843" w:type="dxa"/>
            <w:vAlign w:val="center"/>
          </w:tcPr>
          <w:p>
            <w:pPr>
              <w:autoSpaceDE w:val="0"/>
              <w:autoSpaceDN w:val="0"/>
              <w:adjustRightInd w:val="0"/>
              <w:jc w:val="center"/>
              <w:rPr>
                <w:rFonts w:ascii="宋体" w:hAnsi="宋体" w:cs="宋体"/>
                <w:bCs/>
                <w:color w:val="000000" w:themeColor="text1"/>
                <w:kern w:val="0"/>
                <w:szCs w:val="21"/>
              </w:rPr>
            </w:pPr>
            <w:r>
              <w:rPr>
                <w:rFonts w:hint="eastAsia" w:ascii="宋体" w:hAnsi="宋体" w:cs="宋体"/>
                <w:bCs/>
                <w:color w:val="000000" w:themeColor="text1"/>
                <w:kern w:val="0"/>
                <w:szCs w:val="21"/>
              </w:rPr>
              <w:t>2022年12月31日</w:t>
            </w:r>
          </w:p>
        </w:tc>
        <w:tc>
          <w:tcPr>
            <w:tcW w:w="2843" w:type="dxa"/>
            <w:vAlign w:val="center"/>
          </w:tcPr>
          <w:p>
            <w:pPr>
              <w:autoSpaceDE w:val="0"/>
              <w:autoSpaceDN w:val="0"/>
              <w:adjustRightInd w:val="0"/>
              <w:jc w:val="center"/>
              <w:rPr>
                <w:rFonts w:ascii="宋体" w:hAnsi="宋体" w:cs="宋体"/>
                <w:bCs/>
                <w:color w:val="000000" w:themeColor="text1"/>
                <w:kern w:val="0"/>
                <w:szCs w:val="21"/>
              </w:rPr>
            </w:pPr>
            <w:r>
              <w:rPr>
                <w:rFonts w:hint="eastAsia" w:ascii="宋体" w:hAnsi="宋体" w:cs="宋体"/>
                <w:bCs/>
                <w:color w:val="000000" w:themeColor="text1"/>
                <w:kern w:val="0"/>
                <w:szCs w:val="21"/>
              </w:rPr>
              <w:t>2021年12月31日</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kern w:val="0"/>
                <w:szCs w:val="21"/>
              </w:rPr>
            </w:pPr>
            <w:r>
              <w:rPr>
                <w:rFonts w:hint="eastAsia" w:ascii="宋体" w:hAnsi="宋体" w:cs="宋体"/>
                <w:color w:val="000000" w:themeColor="text1"/>
                <w:kern w:val="0"/>
                <w:szCs w:val="21"/>
              </w:rPr>
              <w:t>核心一级资本充足率</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14.01%</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13.45%</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kern w:val="0"/>
                <w:szCs w:val="21"/>
              </w:rPr>
            </w:pPr>
            <w:r>
              <w:rPr>
                <w:rFonts w:hint="eastAsia" w:ascii="宋体" w:hAnsi="宋体" w:cs="宋体"/>
                <w:color w:val="000000" w:themeColor="text1"/>
                <w:kern w:val="0"/>
                <w:szCs w:val="21"/>
              </w:rPr>
              <w:t>一级资本充足率</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14.01%</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13.45%</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kern w:val="0"/>
                <w:szCs w:val="21"/>
              </w:rPr>
            </w:pPr>
            <w:r>
              <w:rPr>
                <w:rFonts w:hint="eastAsia" w:ascii="宋体" w:hAnsi="宋体" w:cs="宋体"/>
                <w:color w:val="000000" w:themeColor="text1"/>
                <w:kern w:val="0"/>
                <w:szCs w:val="21"/>
              </w:rPr>
              <w:t xml:space="preserve">资本充足率 </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15.13%</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14.44%</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kern w:val="0"/>
                <w:szCs w:val="21"/>
              </w:rPr>
            </w:pPr>
            <w:r>
              <w:rPr>
                <w:rFonts w:hint="eastAsia" w:ascii="宋体" w:hAnsi="宋体" w:cs="宋体"/>
                <w:color w:val="000000" w:themeColor="text1"/>
                <w:szCs w:val="21"/>
              </w:rPr>
              <w:t>核心一级资本</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2653.74</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11653.66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核心一级资本扣减项</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3.36</w:t>
            </w: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核心一级资本净额</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12650.38</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11653.66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一级资本净额</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12650.38</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11653.66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二级资本</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1011.57</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857.8</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二级资本扣减项</w:t>
            </w:r>
          </w:p>
        </w:tc>
        <w:tc>
          <w:tcPr>
            <w:tcW w:w="2843" w:type="dxa"/>
            <w:vAlign w:val="center"/>
          </w:tcPr>
          <w:p>
            <w:pPr>
              <w:autoSpaceDE w:val="0"/>
              <w:autoSpaceDN w:val="0"/>
              <w:adjustRightInd w:val="0"/>
              <w:jc w:val="right"/>
              <w:rPr>
                <w:rFonts w:ascii="宋体" w:hAnsi="宋体" w:cs="宋体"/>
                <w:color w:val="000000" w:themeColor="text1"/>
                <w:kern w:val="0"/>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资本净额</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13661.95</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12511.46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风险加权资产</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90302.76</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86671.87</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其中：</w:t>
            </w:r>
          </w:p>
        </w:tc>
        <w:tc>
          <w:tcPr>
            <w:tcW w:w="2843" w:type="dxa"/>
            <w:vAlign w:val="center"/>
          </w:tcPr>
          <w:p>
            <w:pPr>
              <w:autoSpaceDE w:val="0"/>
              <w:autoSpaceDN w:val="0"/>
              <w:adjustRightInd w:val="0"/>
              <w:jc w:val="right"/>
              <w:rPr>
                <w:rFonts w:ascii="宋体" w:hAnsi="宋体" w:cs="宋体"/>
                <w:color w:val="000000" w:themeColor="text1"/>
                <w:kern w:val="0"/>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信用风险加权资产</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81937.13</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78610.76</w:t>
            </w: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市场风险加权资产</w:t>
            </w:r>
          </w:p>
        </w:tc>
        <w:tc>
          <w:tcPr>
            <w:tcW w:w="2843" w:type="dxa"/>
            <w:vAlign w:val="center"/>
          </w:tcPr>
          <w:p>
            <w:pPr>
              <w:autoSpaceDE w:val="0"/>
              <w:autoSpaceDN w:val="0"/>
              <w:adjustRightInd w:val="0"/>
              <w:jc w:val="right"/>
              <w:rPr>
                <w:rFonts w:ascii="宋体" w:hAnsi="宋体" w:cs="宋体"/>
                <w:color w:val="000000" w:themeColor="text1"/>
                <w:kern w:val="0"/>
                <w:szCs w:val="21"/>
              </w:rPr>
            </w:pPr>
          </w:p>
        </w:tc>
        <w:tc>
          <w:tcPr>
            <w:tcW w:w="2843" w:type="dxa"/>
            <w:vAlign w:val="center"/>
          </w:tcPr>
          <w:p>
            <w:pPr>
              <w:autoSpaceDE w:val="0"/>
              <w:autoSpaceDN w:val="0"/>
              <w:adjustRightInd w:val="0"/>
              <w:jc w:val="right"/>
              <w:rPr>
                <w:rFonts w:ascii="宋体" w:hAnsi="宋体" w:cs="宋体"/>
                <w:color w:val="000000" w:themeColor="text1"/>
                <w:kern w:val="0"/>
                <w:szCs w:val="21"/>
              </w:rPr>
            </w:pPr>
          </w:p>
        </w:tc>
      </w:tr>
      <w:tr>
        <w:tblPrEx>
          <w:tblBorders>
            <w:top w:val="single" w:color="auto" w:sz="4" w:space="0"/>
            <w:left w:val="none" w:color="auto" w:sz="0" w:space="0"/>
            <w:bottom w:val="sing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c>
          <w:tcPr>
            <w:tcW w:w="2842" w:type="dxa"/>
            <w:vAlign w:val="center"/>
          </w:tcPr>
          <w:p>
            <w:pPr>
              <w:autoSpaceDE w:val="0"/>
              <w:autoSpaceDN w:val="0"/>
              <w:adjustRightInd w:val="0"/>
              <w:jc w:val="left"/>
              <w:rPr>
                <w:rFonts w:ascii="宋体" w:hAnsi="宋体" w:cs="宋体"/>
                <w:color w:val="000000" w:themeColor="text1"/>
                <w:szCs w:val="21"/>
              </w:rPr>
            </w:pPr>
            <w:r>
              <w:rPr>
                <w:rFonts w:hint="eastAsia" w:ascii="宋体" w:hAnsi="宋体" w:cs="宋体"/>
                <w:color w:val="000000" w:themeColor="text1"/>
                <w:szCs w:val="21"/>
              </w:rPr>
              <w:t>操作风险加权资产</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8365.63</w:t>
            </w:r>
          </w:p>
        </w:tc>
        <w:tc>
          <w:tcPr>
            <w:tcW w:w="2843" w:type="dxa"/>
            <w:vAlign w:val="center"/>
          </w:tcPr>
          <w:p>
            <w:pPr>
              <w:autoSpaceDE w:val="0"/>
              <w:autoSpaceDN w:val="0"/>
              <w:adjustRightInd w:val="0"/>
              <w:jc w:val="right"/>
              <w:rPr>
                <w:rFonts w:ascii="宋体" w:hAnsi="宋体" w:cs="宋体"/>
                <w:color w:val="000000" w:themeColor="text1"/>
                <w:kern w:val="0"/>
                <w:szCs w:val="21"/>
              </w:rPr>
            </w:pPr>
            <w:r>
              <w:rPr>
                <w:rFonts w:hint="eastAsia" w:ascii="宋体" w:hAnsi="宋体" w:cs="宋体"/>
                <w:color w:val="000000" w:themeColor="text1"/>
                <w:kern w:val="0"/>
                <w:szCs w:val="21"/>
              </w:rPr>
              <w:t>8061.12</w:t>
            </w:r>
          </w:p>
        </w:tc>
      </w:tr>
    </w:tbl>
    <w:p>
      <w:pPr>
        <w:autoSpaceDE w:val="0"/>
        <w:autoSpaceDN w:val="0"/>
        <w:adjustRightInd w:val="0"/>
        <w:spacing w:line="336" w:lineRule="auto"/>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注1：核心一级资本充足率等于核心一级资本净额除以风险加权资产；一级资本充足率等于一级资本净额除以风险加权资产；资本充足率等于资本净额除以风险加权资产。</w:t>
      </w:r>
    </w:p>
    <w:p>
      <w:pPr>
        <w:autoSpaceDE w:val="0"/>
        <w:autoSpaceDN w:val="0"/>
        <w:adjustRightInd w:val="0"/>
        <w:spacing w:line="336" w:lineRule="auto"/>
        <w:ind w:firstLine="640" w:firstLineChars="200"/>
        <w:rPr>
          <w:rFonts w:ascii="仿宋_GB2312" w:hAnsi="宋体" w:eastAsia="仿宋_GB2312"/>
          <w:color w:val="000000" w:themeColor="text1"/>
          <w:sz w:val="32"/>
          <w:szCs w:val="32"/>
        </w:rPr>
      </w:pPr>
      <w:r>
        <w:rPr>
          <w:rFonts w:hint="eastAsia" w:ascii="仿宋_GB2312" w:hAnsi="宋体" w:eastAsia="仿宋_GB2312" w:cs="宋体"/>
          <w:color w:val="000000" w:themeColor="text1"/>
          <w:kern w:val="0"/>
          <w:sz w:val="32"/>
          <w:szCs w:val="32"/>
        </w:rPr>
        <w:t>注2：风险加权资产包括采用权重法计量的信用风险加权资产、采用标准法计量的市场风险加权资产，以及采用基本指标法计量的操作风险加权资产。</w:t>
      </w:r>
    </w:p>
    <w:p>
      <w:pPr>
        <w:spacing w:line="336" w:lineRule="auto"/>
        <w:ind w:firstLine="6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附件：浙江云和联合村镇银行股份有限公司202</w:t>
      </w:r>
      <w:r>
        <w:rPr>
          <w:rFonts w:hint="eastAsia" w:ascii="仿宋_GB2312" w:hAnsi="宋体" w:eastAsia="仿宋_GB2312"/>
          <w:color w:val="000000" w:themeColor="text1"/>
          <w:sz w:val="32"/>
          <w:szCs w:val="32"/>
          <w:lang w:val="en-US" w:eastAsia="zh-CN"/>
        </w:rPr>
        <w:t>2</w:t>
      </w:r>
      <w:r>
        <w:rPr>
          <w:rFonts w:hint="eastAsia" w:ascii="仿宋_GB2312" w:hAnsi="宋体" w:eastAsia="仿宋_GB2312"/>
          <w:color w:val="000000" w:themeColor="text1"/>
          <w:sz w:val="32"/>
          <w:szCs w:val="32"/>
        </w:rPr>
        <w:t>年度审计报告</w:t>
      </w:r>
    </w:p>
    <w:p>
      <w:pPr>
        <w:ind w:firstLine="600"/>
        <w:rPr>
          <w:rFonts w:ascii="仿宋_GB2312" w:hAnsi="宋体" w:eastAsia="仿宋_GB2312"/>
          <w:color w:val="000000" w:themeColor="text1"/>
          <w:sz w:val="30"/>
          <w:szCs w:val="30"/>
        </w:rPr>
      </w:pPr>
    </w:p>
    <w:p>
      <w:pPr>
        <w:ind w:firstLine="600"/>
        <w:rPr>
          <w:rFonts w:ascii="仿宋_GB2312" w:hAnsi="宋体" w:eastAsia="仿宋_GB2312"/>
          <w:color w:val="000000" w:themeColor="text1"/>
          <w:sz w:val="30"/>
          <w:szCs w:val="30"/>
        </w:rPr>
      </w:pPr>
    </w:p>
    <w:p>
      <w:pPr>
        <w:autoSpaceDE w:val="0"/>
        <w:autoSpaceDN w:val="0"/>
        <w:adjustRightInd w:val="0"/>
        <w:spacing w:line="336" w:lineRule="auto"/>
        <w:ind w:firstLine="640" w:firstLineChars="200"/>
        <w:jc w:val="righ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云和联合村镇银行</w:t>
      </w:r>
    </w:p>
    <w:p>
      <w:pPr>
        <w:autoSpaceDE w:val="0"/>
        <w:autoSpaceDN w:val="0"/>
        <w:adjustRightInd w:val="0"/>
        <w:spacing w:line="336" w:lineRule="auto"/>
        <w:ind w:firstLine="640" w:firstLineChars="200"/>
        <w:jc w:val="right"/>
        <w:rPr>
          <w:rFonts w:hint="eastAsia"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 xml:space="preserve">              202</w:t>
      </w:r>
      <w:r>
        <w:rPr>
          <w:rFonts w:hint="eastAsia" w:ascii="仿宋_GB2312" w:hAnsi="宋体" w:eastAsia="仿宋_GB2312" w:cs="宋体"/>
          <w:color w:val="000000" w:themeColor="text1"/>
          <w:kern w:val="0"/>
          <w:sz w:val="32"/>
          <w:szCs w:val="32"/>
          <w:lang w:val="en-US" w:eastAsia="zh-CN"/>
        </w:rPr>
        <w:t>3</w:t>
      </w:r>
      <w:r>
        <w:rPr>
          <w:rFonts w:hint="eastAsia" w:ascii="仿宋_GB2312" w:hAnsi="宋体" w:eastAsia="仿宋_GB2312" w:cs="宋体"/>
          <w:color w:val="000000" w:themeColor="text1"/>
          <w:kern w:val="0"/>
          <w:sz w:val="32"/>
          <w:szCs w:val="32"/>
        </w:rPr>
        <w:t>年4月2</w:t>
      </w:r>
      <w:r>
        <w:rPr>
          <w:rFonts w:hint="eastAsia" w:ascii="仿宋_GB2312" w:hAnsi="宋体" w:eastAsia="仿宋_GB2312" w:cs="宋体"/>
          <w:color w:val="000000" w:themeColor="text1"/>
          <w:kern w:val="0"/>
          <w:sz w:val="32"/>
          <w:szCs w:val="32"/>
          <w:lang w:val="en-US" w:eastAsia="zh-CN"/>
        </w:rPr>
        <w:t>8</w:t>
      </w:r>
      <w:r>
        <w:rPr>
          <w:rFonts w:hint="eastAsia" w:ascii="仿宋_GB2312" w:hAnsi="宋体" w:eastAsia="仿宋_GB2312" w:cs="宋体"/>
          <w:color w:val="000000" w:themeColor="text1"/>
          <w:kern w:val="0"/>
          <w:sz w:val="32"/>
          <w:szCs w:val="32"/>
        </w:rPr>
        <w:t>日</w:t>
      </w:r>
    </w:p>
    <w:p>
      <w:pPr>
        <w:rPr>
          <w:color w:val="000000" w:themeColor="text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CFE4BF"/>
    <w:multiLevelType w:val="singleLevel"/>
    <w:tmpl w:val="DACFE4BF"/>
    <w:lvl w:ilvl="0" w:tentative="0">
      <w:start w:val="12"/>
      <w:numFmt w:val="chineseCounting"/>
      <w:suff w:val="nothing"/>
      <w:lvlText w:val="（%1）"/>
      <w:lvlJc w:val="left"/>
      <w:rPr>
        <w:rFonts w:hint="eastAsia"/>
      </w:rPr>
    </w:lvl>
  </w:abstractNum>
  <w:abstractNum w:abstractNumId="1">
    <w:nsid w:val="63770BC0"/>
    <w:multiLevelType w:val="multilevel"/>
    <w:tmpl w:val="63770BC0"/>
    <w:lvl w:ilvl="0" w:tentative="0">
      <w:start w:val="1"/>
      <w:numFmt w:val="japaneseCounting"/>
      <w:lvlText w:val="（%1）"/>
      <w:lvlJc w:val="left"/>
      <w:pPr>
        <w:tabs>
          <w:tab w:val="left" w:pos="1680"/>
        </w:tabs>
        <w:ind w:left="1680" w:hanging="1080"/>
      </w:pPr>
      <w:rPr>
        <w:rFonts w:hint="default"/>
      </w:rPr>
    </w:lvl>
    <w:lvl w:ilvl="1" w:tentative="0">
      <w:start w:val="1"/>
      <w:numFmt w:val="lowerLetter"/>
      <w:lvlText w:val="%2)"/>
      <w:lvlJc w:val="left"/>
      <w:pPr>
        <w:tabs>
          <w:tab w:val="left" w:pos="1440"/>
        </w:tabs>
        <w:ind w:left="1440" w:hanging="420"/>
      </w:pPr>
    </w:lvl>
    <w:lvl w:ilvl="2" w:tentative="0">
      <w:start w:val="1"/>
      <w:numFmt w:val="lowerRoman"/>
      <w:lvlText w:val="%3."/>
      <w:lvlJc w:val="right"/>
      <w:pPr>
        <w:tabs>
          <w:tab w:val="left" w:pos="1860"/>
        </w:tabs>
        <w:ind w:left="1860" w:hanging="420"/>
      </w:pPr>
    </w:lvl>
    <w:lvl w:ilvl="3" w:tentative="0">
      <w:start w:val="1"/>
      <w:numFmt w:val="decimal"/>
      <w:lvlText w:val="%4."/>
      <w:lvlJc w:val="left"/>
      <w:pPr>
        <w:tabs>
          <w:tab w:val="left" w:pos="2280"/>
        </w:tabs>
        <w:ind w:left="2280" w:hanging="420"/>
      </w:pPr>
    </w:lvl>
    <w:lvl w:ilvl="4" w:tentative="0">
      <w:start w:val="1"/>
      <w:numFmt w:val="lowerLetter"/>
      <w:lvlText w:val="%5)"/>
      <w:lvlJc w:val="left"/>
      <w:pPr>
        <w:tabs>
          <w:tab w:val="left" w:pos="2700"/>
        </w:tabs>
        <w:ind w:left="2700" w:hanging="420"/>
      </w:pPr>
    </w:lvl>
    <w:lvl w:ilvl="5" w:tentative="0">
      <w:start w:val="1"/>
      <w:numFmt w:val="lowerRoman"/>
      <w:lvlText w:val="%6."/>
      <w:lvlJc w:val="right"/>
      <w:pPr>
        <w:tabs>
          <w:tab w:val="left" w:pos="3120"/>
        </w:tabs>
        <w:ind w:left="3120" w:hanging="420"/>
      </w:pPr>
    </w:lvl>
    <w:lvl w:ilvl="6" w:tentative="0">
      <w:start w:val="1"/>
      <w:numFmt w:val="decimal"/>
      <w:lvlText w:val="%7."/>
      <w:lvlJc w:val="left"/>
      <w:pPr>
        <w:tabs>
          <w:tab w:val="left" w:pos="3540"/>
        </w:tabs>
        <w:ind w:left="3540" w:hanging="420"/>
      </w:pPr>
    </w:lvl>
    <w:lvl w:ilvl="7" w:tentative="0">
      <w:start w:val="1"/>
      <w:numFmt w:val="lowerLetter"/>
      <w:lvlText w:val="%8)"/>
      <w:lvlJc w:val="left"/>
      <w:pPr>
        <w:tabs>
          <w:tab w:val="left" w:pos="3960"/>
        </w:tabs>
        <w:ind w:left="3960" w:hanging="420"/>
      </w:pPr>
    </w:lvl>
    <w:lvl w:ilvl="8" w:tentative="0">
      <w:start w:val="1"/>
      <w:numFmt w:val="lowerRoman"/>
      <w:lvlText w:val="%9."/>
      <w:lvlJc w:val="right"/>
      <w:pPr>
        <w:tabs>
          <w:tab w:val="left" w:pos="4380"/>
        </w:tabs>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C63E0B"/>
    <w:rsid w:val="22307D25"/>
    <w:rsid w:val="26635882"/>
    <w:rsid w:val="30533994"/>
    <w:rsid w:val="381668C6"/>
    <w:rsid w:val="5E7354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autoSpaceDE w:val="0"/>
      <w:autoSpaceDN w:val="0"/>
      <w:ind w:left="160"/>
      <w:jc w:val="left"/>
    </w:pPr>
    <w:rPr>
      <w:rFonts w:ascii="仿宋_GB2312" w:hAnsi="仿宋_GB2312" w:eastAsia="仿宋_GB2312" w:cs="仿宋_GB2312"/>
      <w:kern w:val="0"/>
      <w:sz w:val="32"/>
      <w:szCs w:val="32"/>
      <w:lang w:eastAsia="en-US"/>
    </w:rPr>
  </w:style>
  <w:style w:type="paragraph" w:styleId="3">
    <w:name w:val="Plain Text"/>
    <w:basedOn w:val="1"/>
    <w:link w:val="12"/>
    <w:qFormat/>
    <w:uiPriority w:val="0"/>
    <w:pPr>
      <w:widowControl/>
      <w:spacing w:before="100" w:beforeAutospacing="1" w:after="100" w:afterAutospacing="1"/>
      <w:jc w:val="left"/>
    </w:pPr>
    <w:rPr>
      <w:rFonts w:ascii="宋体" w:hAnsi="宋体" w:eastAsia="宋体" w:cs="黑体"/>
      <w:sz w:val="24"/>
      <w:szCs w:val="24"/>
    </w:r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
    <w:basedOn w:val="1"/>
    <w:qFormat/>
    <w:uiPriority w:val="0"/>
    <w:pPr>
      <w:ind w:firstLine="420" w:firstLineChars="200"/>
    </w:pPr>
    <w:rPr>
      <w:szCs w:val="22"/>
    </w:rPr>
  </w:style>
  <w:style w:type="character" w:customStyle="1" w:styleId="9">
    <w:name w:val="页眉 Char Char"/>
    <w:basedOn w:val="7"/>
    <w:link w:val="5"/>
    <w:qFormat/>
    <w:uiPriority w:val="99"/>
    <w:rPr>
      <w:sz w:val="18"/>
      <w:szCs w:val="18"/>
    </w:rPr>
  </w:style>
  <w:style w:type="character" w:customStyle="1" w:styleId="10">
    <w:name w:val="页脚 Char Char"/>
    <w:basedOn w:val="7"/>
    <w:link w:val="4"/>
    <w:qFormat/>
    <w:uiPriority w:val="99"/>
    <w:rPr>
      <w:sz w:val="18"/>
      <w:szCs w:val="18"/>
    </w:rPr>
  </w:style>
  <w:style w:type="character" w:customStyle="1" w:styleId="11">
    <w:name w:val="纯文本 Char Char"/>
    <w:link w:val="3"/>
    <w:qFormat/>
    <w:uiPriority w:val="0"/>
    <w:rPr>
      <w:rFonts w:ascii="宋体" w:hAnsi="宋体"/>
      <w:sz w:val="24"/>
      <w:szCs w:val="24"/>
    </w:rPr>
  </w:style>
  <w:style w:type="character" w:customStyle="1" w:styleId="12">
    <w:name w:val="纯文本 Char1"/>
    <w:basedOn w:val="7"/>
    <w:link w:val="3"/>
    <w:qFormat/>
    <w:uiPriority w:val="99"/>
    <w:rPr>
      <w:rFonts w:ascii="宋体" w:hAnsi="Courier New" w:eastAsia="宋体" w:cs="Courier New"/>
      <w:szCs w:val="21"/>
    </w:rPr>
  </w:style>
  <w:style w:type="paragraph" w:customStyle="1" w:styleId="13">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1423</Words>
  <Characters>8115</Characters>
  <Lines>67</Lines>
  <Paragraphs>19</Paragraphs>
  <TotalTime>35</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2022-04-28T04:09:00Z</dcterms:created>
  <dc:creator>项海慧</dc:creator>
  <cp:lastModifiedBy>项海慧</cp:lastModifiedBy>
  <dcterms:modified xsi:type="dcterms:W3CDTF">2023-04-28T08:06:30Z</dcterms:modified>
  <dc:title>浙江云和联合村镇银行股份有限公司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